
<file path=[Content_Types].xml><?xml version="1.0" encoding="utf-8"?>
<Types xmlns="http://schemas.openxmlformats.org/package/2006/content-types">
  <Override PartName="/word/footnotes.xml" ContentType="application/vnd.openxmlformats-officedocument.wordprocessingml.footnotes+xml"/>
  <Override PartName="/word/theme/themeOverride4.xml" ContentType="application/vnd.openxmlformats-officedocument.themeOverride+xml"/>
  <Override PartName="/word/theme/themeOverride2.xml" ContentType="application/vnd.openxmlformats-officedocument.themeOverride+xml"/>
  <Override PartName="/word/theme/themeOverride3.xml" ContentType="application/vnd.openxmlformats-officedocument.themeOverride+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charts/chart6.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Default Extension="xlsx" ContentType="application/vnd.openxmlformats-officedocument.spreadsheetml.sheet"/>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670B" w:rsidRPr="00BE108E" w:rsidRDefault="001833B1" w:rsidP="00B93BB7">
      <w:pPr>
        <w:pStyle w:val="1"/>
      </w:pPr>
      <w:r>
        <w:t xml:space="preserve">Сводный годовой доклад </w:t>
      </w:r>
      <w:r w:rsidR="004135B6" w:rsidRPr="00BE108E">
        <w:t xml:space="preserve">о ходе реализации и </w:t>
      </w:r>
      <w:r>
        <w:t xml:space="preserve">об </w:t>
      </w:r>
      <w:r w:rsidR="004135B6" w:rsidRPr="00BE108E">
        <w:t xml:space="preserve">оценке эффективности государственных программ Мурманской области </w:t>
      </w:r>
      <w:r w:rsidR="004135B6" w:rsidRPr="009C4E83">
        <w:t>за 201</w:t>
      </w:r>
      <w:r w:rsidR="00D613B9">
        <w:t>9</w:t>
      </w:r>
      <w:r w:rsidR="004135B6" w:rsidRPr="009C4E83">
        <w:t xml:space="preserve"> год</w:t>
      </w:r>
    </w:p>
    <w:p w:rsidR="009C670B" w:rsidRPr="00BE108E" w:rsidRDefault="009C670B" w:rsidP="009C670B">
      <w:pPr>
        <w:pStyle w:val="330"/>
        <w:shd w:val="clear" w:color="auto" w:fill="auto"/>
        <w:spacing w:before="0" w:after="0" w:line="240" w:lineRule="auto"/>
        <w:ind w:right="-1"/>
        <w:rPr>
          <w:b w:val="0"/>
          <w:sz w:val="28"/>
          <w:szCs w:val="28"/>
        </w:rPr>
      </w:pPr>
    </w:p>
    <w:p w:rsidR="004135B6" w:rsidRPr="001F0870" w:rsidRDefault="007F64F7" w:rsidP="004135B6">
      <w:pPr>
        <w:rPr>
          <w:szCs w:val="28"/>
        </w:rPr>
      </w:pPr>
      <w:r w:rsidRPr="00162BAB">
        <w:rPr>
          <w:szCs w:val="28"/>
        </w:rPr>
        <w:t>Доклад</w:t>
      </w:r>
      <w:r w:rsidR="004135B6" w:rsidRPr="00162BAB">
        <w:rPr>
          <w:szCs w:val="28"/>
        </w:rPr>
        <w:t xml:space="preserve"> подготовлен в соответствии с Порядком разработки, реализации и оценки эффективности государственных программ Мурманской области</w:t>
      </w:r>
      <w:r w:rsidR="00D613B9">
        <w:rPr>
          <w:szCs w:val="28"/>
        </w:rPr>
        <w:t xml:space="preserve"> (далее </w:t>
      </w:r>
      <w:r w:rsidR="00D30883" w:rsidRPr="00162BAB">
        <w:rPr>
          <w:szCs w:val="28"/>
        </w:rPr>
        <w:t>– Порядок), утвержденным постановлением Правительства Мурманской области от 03.07.2013 № 369-ПП,</w:t>
      </w:r>
      <w:r w:rsidR="004135B6" w:rsidRPr="00162BAB">
        <w:rPr>
          <w:szCs w:val="28"/>
        </w:rPr>
        <w:t xml:space="preserve"> на основании сведений, представленных ответственными </w:t>
      </w:r>
      <w:r w:rsidR="004135B6" w:rsidRPr="001F0870">
        <w:rPr>
          <w:szCs w:val="28"/>
        </w:rPr>
        <w:t>исполнителями государственных программ Мурманской области.</w:t>
      </w:r>
    </w:p>
    <w:p w:rsidR="00D30883" w:rsidRPr="001F0870" w:rsidRDefault="00D30883" w:rsidP="004135B6">
      <w:pPr>
        <w:rPr>
          <w:szCs w:val="28"/>
        </w:rPr>
      </w:pPr>
      <w:r w:rsidRPr="001F0870">
        <w:rPr>
          <w:szCs w:val="28"/>
        </w:rPr>
        <w:t xml:space="preserve">В соответствии с пунктом 6.12 Порядка ответственные исполнители государственной программы с учетом информации, полученной от соисполнителей и участников государственной программы, </w:t>
      </w:r>
      <w:r w:rsidR="00B67A30" w:rsidRPr="001F0870">
        <w:rPr>
          <w:szCs w:val="28"/>
        </w:rPr>
        <w:t xml:space="preserve">ежегодно не позднее 20 марта года, следующего за отчетным, </w:t>
      </w:r>
      <w:r w:rsidRPr="001F0870">
        <w:rPr>
          <w:szCs w:val="28"/>
        </w:rPr>
        <w:t>формиру</w:t>
      </w:r>
      <w:r w:rsidR="00B67A30" w:rsidRPr="001F0870">
        <w:rPr>
          <w:szCs w:val="28"/>
        </w:rPr>
        <w:t>ю</w:t>
      </w:r>
      <w:r w:rsidRPr="001F0870">
        <w:rPr>
          <w:szCs w:val="28"/>
        </w:rPr>
        <w:t xml:space="preserve">т </w:t>
      </w:r>
      <w:r w:rsidR="00B67A30" w:rsidRPr="001F0870">
        <w:rPr>
          <w:szCs w:val="28"/>
        </w:rPr>
        <w:t xml:space="preserve">годовые отчеты о ходе реализации и оценке эффективности государственных программ </w:t>
      </w:r>
      <w:r w:rsidRPr="001F0870">
        <w:rPr>
          <w:szCs w:val="28"/>
        </w:rPr>
        <w:t>и направля</w:t>
      </w:r>
      <w:r w:rsidR="00B67A30" w:rsidRPr="001F0870">
        <w:rPr>
          <w:szCs w:val="28"/>
        </w:rPr>
        <w:t>ю</w:t>
      </w:r>
      <w:r w:rsidRPr="001F0870">
        <w:rPr>
          <w:szCs w:val="28"/>
        </w:rPr>
        <w:t xml:space="preserve">т </w:t>
      </w:r>
      <w:r w:rsidR="00B67A30" w:rsidRPr="001F0870">
        <w:rPr>
          <w:szCs w:val="28"/>
        </w:rPr>
        <w:t>их</w:t>
      </w:r>
      <w:r w:rsidRPr="001F0870">
        <w:rPr>
          <w:szCs w:val="28"/>
        </w:rPr>
        <w:t xml:space="preserve"> в Министерство экономического развития Мурманской области и Министерство финансов Мурманской области и размеща</w:t>
      </w:r>
      <w:r w:rsidR="00B67A30" w:rsidRPr="001F0870">
        <w:rPr>
          <w:szCs w:val="28"/>
        </w:rPr>
        <w:t>ю</w:t>
      </w:r>
      <w:r w:rsidRPr="001F0870">
        <w:rPr>
          <w:szCs w:val="28"/>
        </w:rPr>
        <w:t>т на сво</w:t>
      </w:r>
      <w:r w:rsidR="00B67A30" w:rsidRPr="001F0870">
        <w:rPr>
          <w:szCs w:val="28"/>
        </w:rPr>
        <w:t>их</w:t>
      </w:r>
      <w:r w:rsidRPr="001F0870">
        <w:rPr>
          <w:szCs w:val="28"/>
        </w:rPr>
        <w:t xml:space="preserve"> официальн</w:t>
      </w:r>
      <w:r w:rsidR="00B67A30" w:rsidRPr="001F0870">
        <w:rPr>
          <w:szCs w:val="28"/>
        </w:rPr>
        <w:t>ых</w:t>
      </w:r>
      <w:r w:rsidRPr="001F0870">
        <w:rPr>
          <w:szCs w:val="28"/>
        </w:rPr>
        <w:t xml:space="preserve"> сайт</w:t>
      </w:r>
      <w:r w:rsidR="00B67A30" w:rsidRPr="001F0870">
        <w:rPr>
          <w:szCs w:val="28"/>
        </w:rPr>
        <w:t>ах</w:t>
      </w:r>
      <w:r w:rsidRPr="001F0870">
        <w:rPr>
          <w:szCs w:val="28"/>
        </w:rPr>
        <w:t xml:space="preserve"> в сети Интернет</w:t>
      </w:r>
      <w:r w:rsidR="00B67A30" w:rsidRPr="001F0870">
        <w:rPr>
          <w:szCs w:val="28"/>
        </w:rPr>
        <w:t>.</w:t>
      </w:r>
    </w:p>
    <w:p w:rsidR="00B67A30" w:rsidRPr="00E11944" w:rsidRDefault="0030606A" w:rsidP="004135B6">
      <w:pPr>
        <w:rPr>
          <w:szCs w:val="28"/>
        </w:rPr>
      </w:pPr>
      <w:r w:rsidRPr="001F0870">
        <w:rPr>
          <w:szCs w:val="28"/>
        </w:rPr>
        <w:t>Как и в предыдущие годы значительная</w:t>
      </w:r>
      <w:r w:rsidR="00384B62" w:rsidRPr="001F0870">
        <w:rPr>
          <w:szCs w:val="28"/>
        </w:rPr>
        <w:t xml:space="preserve"> часть представленных отчетов не соответствовала требованиям Порядка к составу разделов текстовой части отчета и приложений к нему, а также </w:t>
      </w:r>
      <w:r w:rsidR="003443E8" w:rsidRPr="001F0870">
        <w:rPr>
          <w:szCs w:val="28"/>
        </w:rPr>
        <w:t xml:space="preserve">выполнена </w:t>
      </w:r>
      <w:r w:rsidR="00384B62" w:rsidRPr="001F0870">
        <w:rPr>
          <w:szCs w:val="28"/>
        </w:rPr>
        <w:t xml:space="preserve">с нарушениями методики оценки эффективности государственных программ, установленной Порядком. По отдельным </w:t>
      </w:r>
      <w:r w:rsidR="00384B62" w:rsidRPr="00E11944">
        <w:rPr>
          <w:szCs w:val="28"/>
        </w:rPr>
        <w:t>государственным программам предоставлены недостоверные или ошибочные данные о фактических объемах израсходованных средств, результатах реализации мероприятий и значениях показателей.</w:t>
      </w:r>
      <w:r w:rsidR="00B83291" w:rsidRPr="00E11944">
        <w:rPr>
          <w:szCs w:val="28"/>
        </w:rPr>
        <w:t xml:space="preserve"> </w:t>
      </w:r>
    </w:p>
    <w:p w:rsidR="007A6231" w:rsidRPr="00E11944" w:rsidRDefault="007A6231" w:rsidP="00CD51CC">
      <w:pPr>
        <w:pStyle w:val="330"/>
        <w:shd w:val="clear" w:color="auto" w:fill="auto"/>
        <w:spacing w:before="0" w:after="0" w:line="240" w:lineRule="auto"/>
        <w:ind w:right="-1"/>
        <w:rPr>
          <w:rFonts w:ascii="Times New Roman" w:eastAsia="Times New Roman" w:hAnsi="Times New Roman"/>
          <w:bCs w:val="0"/>
          <w:sz w:val="28"/>
          <w:szCs w:val="22"/>
        </w:rPr>
      </w:pPr>
      <w:r w:rsidRPr="00E11944">
        <w:rPr>
          <w:rFonts w:ascii="Times New Roman" w:eastAsia="Times New Roman" w:hAnsi="Times New Roman"/>
          <w:bCs w:val="0"/>
          <w:sz w:val="28"/>
          <w:szCs w:val="22"/>
        </w:rPr>
        <w:t>1. Уровень достижения показателей</w:t>
      </w:r>
    </w:p>
    <w:p w:rsidR="00CD51CC" w:rsidRPr="00E11944" w:rsidRDefault="007A6231" w:rsidP="00CD51CC">
      <w:pPr>
        <w:pStyle w:val="330"/>
        <w:shd w:val="clear" w:color="auto" w:fill="auto"/>
        <w:spacing w:before="0" w:after="0" w:line="240" w:lineRule="auto"/>
        <w:ind w:right="-1"/>
        <w:rPr>
          <w:rFonts w:ascii="Times New Roman" w:eastAsia="Times New Roman" w:hAnsi="Times New Roman"/>
          <w:b w:val="0"/>
          <w:bCs w:val="0"/>
          <w:sz w:val="28"/>
          <w:szCs w:val="22"/>
        </w:rPr>
      </w:pPr>
      <w:r w:rsidRPr="00E11944">
        <w:rPr>
          <w:rFonts w:ascii="Times New Roman" w:eastAsia="Times New Roman" w:hAnsi="Times New Roman"/>
          <w:b w:val="0"/>
          <w:bCs w:val="0"/>
          <w:sz w:val="28"/>
          <w:szCs w:val="22"/>
        </w:rPr>
        <w:t xml:space="preserve"> </w:t>
      </w:r>
      <w:r w:rsidR="00CD51CC" w:rsidRPr="00E11944">
        <w:rPr>
          <w:rFonts w:ascii="Times New Roman" w:eastAsia="Times New Roman" w:hAnsi="Times New Roman"/>
          <w:b w:val="0"/>
          <w:bCs w:val="0"/>
          <w:sz w:val="28"/>
          <w:szCs w:val="22"/>
        </w:rPr>
        <w:t xml:space="preserve">Всего по </w:t>
      </w:r>
      <w:r w:rsidR="00326080" w:rsidRPr="00E11944">
        <w:rPr>
          <w:rFonts w:ascii="Times New Roman" w:eastAsia="Times New Roman" w:hAnsi="Times New Roman"/>
          <w:b w:val="0"/>
          <w:bCs w:val="0"/>
          <w:sz w:val="28"/>
          <w:szCs w:val="22"/>
        </w:rPr>
        <w:t>1</w:t>
      </w:r>
      <w:r w:rsidR="004A0D9B" w:rsidRPr="00E11944">
        <w:rPr>
          <w:rFonts w:ascii="Times New Roman" w:eastAsia="Times New Roman" w:hAnsi="Times New Roman"/>
          <w:b w:val="0"/>
          <w:bCs w:val="0"/>
          <w:sz w:val="28"/>
          <w:szCs w:val="22"/>
        </w:rPr>
        <w:t>6</w:t>
      </w:r>
      <w:r w:rsidR="00326080" w:rsidRPr="00E11944">
        <w:rPr>
          <w:rFonts w:ascii="Times New Roman" w:eastAsia="Times New Roman" w:hAnsi="Times New Roman"/>
          <w:b w:val="0"/>
          <w:bCs w:val="0"/>
          <w:sz w:val="28"/>
          <w:szCs w:val="22"/>
        </w:rPr>
        <w:t xml:space="preserve"> </w:t>
      </w:r>
      <w:r w:rsidR="00CD51CC" w:rsidRPr="00E11944">
        <w:rPr>
          <w:rFonts w:ascii="Times New Roman" w:eastAsia="Times New Roman" w:hAnsi="Times New Roman"/>
          <w:b w:val="0"/>
          <w:bCs w:val="0"/>
          <w:sz w:val="28"/>
          <w:szCs w:val="22"/>
        </w:rPr>
        <w:t>государственным программам в 201</w:t>
      </w:r>
      <w:r w:rsidR="00D613B9" w:rsidRPr="00E11944">
        <w:rPr>
          <w:rFonts w:ascii="Times New Roman" w:eastAsia="Times New Roman" w:hAnsi="Times New Roman"/>
          <w:b w:val="0"/>
          <w:bCs w:val="0"/>
          <w:sz w:val="28"/>
          <w:szCs w:val="22"/>
        </w:rPr>
        <w:t>9</w:t>
      </w:r>
      <w:r w:rsidR="00EB4F73" w:rsidRPr="00E11944">
        <w:rPr>
          <w:rFonts w:ascii="Times New Roman" w:eastAsia="Times New Roman" w:hAnsi="Times New Roman"/>
          <w:b w:val="0"/>
          <w:bCs w:val="0"/>
          <w:sz w:val="28"/>
          <w:szCs w:val="22"/>
        </w:rPr>
        <w:t xml:space="preserve"> году был предусмотрен</w:t>
      </w:r>
      <w:r w:rsidR="00CD51CC" w:rsidRPr="00E11944">
        <w:rPr>
          <w:rFonts w:ascii="Times New Roman" w:eastAsia="Times New Roman" w:hAnsi="Times New Roman"/>
          <w:b w:val="0"/>
          <w:bCs w:val="0"/>
          <w:sz w:val="28"/>
          <w:szCs w:val="22"/>
        </w:rPr>
        <w:t xml:space="preserve"> к достижению </w:t>
      </w:r>
      <w:r w:rsidR="00EB4F73" w:rsidRPr="00E11944">
        <w:rPr>
          <w:rFonts w:ascii="Times New Roman" w:eastAsia="Times New Roman" w:hAnsi="Times New Roman"/>
          <w:b w:val="0"/>
          <w:bCs w:val="0"/>
          <w:sz w:val="28"/>
          <w:szCs w:val="22"/>
        </w:rPr>
        <w:t>531</w:t>
      </w:r>
      <w:r w:rsidR="00D504D6" w:rsidRPr="00E11944">
        <w:rPr>
          <w:rFonts w:ascii="Times New Roman" w:eastAsia="Times New Roman" w:hAnsi="Times New Roman"/>
          <w:b w:val="0"/>
          <w:bCs w:val="0"/>
          <w:sz w:val="28"/>
          <w:szCs w:val="22"/>
        </w:rPr>
        <w:t xml:space="preserve"> </w:t>
      </w:r>
      <w:r w:rsidR="00EB4F73" w:rsidRPr="00E11944">
        <w:rPr>
          <w:rFonts w:ascii="Times New Roman" w:eastAsia="Times New Roman" w:hAnsi="Times New Roman"/>
          <w:b w:val="0"/>
          <w:bCs w:val="0"/>
          <w:sz w:val="28"/>
          <w:szCs w:val="22"/>
        </w:rPr>
        <w:t>показатель</w:t>
      </w:r>
      <w:r w:rsidR="00D504D6" w:rsidRPr="00E11944">
        <w:rPr>
          <w:rFonts w:ascii="Times New Roman" w:eastAsia="Times New Roman" w:hAnsi="Times New Roman"/>
          <w:b w:val="0"/>
          <w:bCs w:val="0"/>
          <w:sz w:val="28"/>
          <w:szCs w:val="22"/>
        </w:rPr>
        <w:t xml:space="preserve"> </w:t>
      </w:r>
      <w:r w:rsidR="005B01DB" w:rsidRPr="00E11944">
        <w:rPr>
          <w:rFonts w:ascii="Times New Roman" w:eastAsia="Times New Roman" w:hAnsi="Times New Roman"/>
          <w:b w:val="0"/>
          <w:bCs w:val="0"/>
          <w:sz w:val="28"/>
          <w:szCs w:val="22"/>
        </w:rPr>
        <w:t>(</w:t>
      </w:r>
      <w:r w:rsidR="00D613B9" w:rsidRPr="00E11944">
        <w:rPr>
          <w:rFonts w:ascii="Times New Roman" w:eastAsia="Times New Roman" w:hAnsi="Times New Roman"/>
          <w:b w:val="0"/>
          <w:bCs w:val="0"/>
          <w:sz w:val="28"/>
          <w:szCs w:val="22"/>
        </w:rPr>
        <w:t xml:space="preserve">в 2018 году - 534, </w:t>
      </w:r>
      <w:r w:rsidR="009005FD" w:rsidRPr="00E11944">
        <w:rPr>
          <w:rFonts w:ascii="Times New Roman" w:eastAsia="Times New Roman" w:hAnsi="Times New Roman"/>
          <w:b w:val="0"/>
          <w:bCs w:val="0"/>
          <w:sz w:val="28"/>
          <w:szCs w:val="22"/>
        </w:rPr>
        <w:t xml:space="preserve">в 2017 году – 542, </w:t>
      </w:r>
      <w:r w:rsidR="00D613B9" w:rsidRPr="00E11944">
        <w:rPr>
          <w:rFonts w:ascii="Times New Roman" w:eastAsia="Times New Roman" w:hAnsi="Times New Roman"/>
          <w:b w:val="0"/>
          <w:bCs w:val="0"/>
          <w:sz w:val="28"/>
          <w:szCs w:val="22"/>
        </w:rPr>
        <w:t>в 2016 году – 515)</w:t>
      </w:r>
      <w:r w:rsidR="00CD51CC" w:rsidRPr="00E11944">
        <w:rPr>
          <w:rFonts w:ascii="Times New Roman" w:eastAsia="Times New Roman" w:hAnsi="Times New Roman"/>
          <w:b w:val="0"/>
          <w:bCs w:val="0"/>
          <w:sz w:val="28"/>
          <w:szCs w:val="22"/>
        </w:rPr>
        <w:t>, из которых</w:t>
      </w:r>
      <w:r w:rsidR="00F0651A" w:rsidRPr="00E11944">
        <w:rPr>
          <w:rFonts w:ascii="Times New Roman" w:eastAsia="Times New Roman" w:hAnsi="Times New Roman"/>
          <w:b w:val="0"/>
          <w:bCs w:val="0"/>
          <w:sz w:val="28"/>
          <w:szCs w:val="22"/>
        </w:rPr>
        <w:t xml:space="preserve"> (Рисунок </w:t>
      </w:r>
      <w:r w:rsidR="00326080" w:rsidRPr="00E11944">
        <w:rPr>
          <w:rFonts w:ascii="Times New Roman" w:eastAsia="Times New Roman" w:hAnsi="Times New Roman"/>
          <w:b w:val="0"/>
          <w:bCs w:val="0"/>
          <w:sz w:val="28"/>
          <w:szCs w:val="22"/>
        </w:rPr>
        <w:t>1</w:t>
      </w:r>
      <w:r w:rsidR="00F0651A" w:rsidRPr="00E11944">
        <w:rPr>
          <w:rFonts w:ascii="Times New Roman" w:eastAsia="Times New Roman" w:hAnsi="Times New Roman"/>
          <w:b w:val="0"/>
          <w:bCs w:val="0"/>
          <w:sz w:val="28"/>
          <w:szCs w:val="22"/>
        </w:rPr>
        <w:t>)</w:t>
      </w:r>
      <w:r w:rsidR="00CD51CC" w:rsidRPr="00E11944">
        <w:rPr>
          <w:rFonts w:ascii="Times New Roman" w:eastAsia="Times New Roman" w:hAnsi="Times New Roman"/>
          <w:b w:val="0"/>
          <w:bCs w:val="0"/>
          <w:sz w:val="28"/>
          <w:szCs w:val="22"/>
        </w:rPr>
        <w:t>:</w:t>
      </w:r>
    </w:p>
    <w:p w:rsidR="009C4E83" w:rsidRPr="00E11944" w:rsidRDefault="009C4E83" w:rsidP="009C4E83">
      <w:pPr>
        <w:pStyle w:val="330"/>
        <w:numPr>
          <w:ilvl w:val="0"/>
          <w:numId w:val="1"/>
        </w:numPr>
        <w:shd w:val="clear" w:color="auto" w:fill="auto"/>
        <w:tabs>
          <w:tab w:val="left" w:pos="1276"/>
        </w:tabs>
        <w:spacing w:before="0" w:after="0" w:line="240" w:lineRule="auto"/>
        <w:ind w:left="0" w:right="-1" w:firstLine="709"/>
        <w:rPr>
          <w:rFonts w:ascii="Times New Roman" w:eastAsia="Times New Roman" w:hAnsi="Times New Roman"/>
          <w:b w:val="0"/>
          <w:bCs w:val="0"/>
          <w:sz w:val="28"/>
          <w:szCs w:val="22"/>
        </w:rPr>
      </w:pPr>
      <w:r w:rsidRPr="00E11944">
        <w:rPr>
          <w:rFonts w:ascii="Times New Roman" w:eastAsia="Times New Roman" w:hAnsi="Times New Roman"/>
          <w:b w:val="0"/>
          <w:bCs w:val="0"/>
          <w:sz w:val="28"/>
          <w:szCs w:val="22"/>
        </w:rPr>
        <w:t xml:space="preserve">имеют высокую степень достижения (от 99,5 до 150%) – </w:t>
      </w:r>
      <w:r w:rsidR="00752FA1" w:rsidRPr="00E11944">
        <w:rPr>
          <w:rFonts w:ascii="Times New Roman" w:eastAsia="Times New Roman" w:hAnsi="Times New Roman"/>
          <w:b w:val="0"/>
          <w:bCs w:val="0"/>
          <w:sz w:val="28"/>
          <w:szCs w:val="22"/>
        </w:rPr>
        <w:t>36</w:t>
      </w:r>
      <w:r w:rsidR="00EB4F73" w:rsidRPr="00E11944">
        <w:rPr>
          <w:rFonts w:ascii="Times New Roman" w:eastAsia="Times New Roman" w:hAnsi="Times New Roman"/>
          <w:b w:val="0"/>
          <w:bCs w:val="0"/>
          <w:sz w:val="28"/>
          <w:szCs w:val="22"/>
        </w:rPr>
        <w:t>5</w:t>
      </w:r>
      <w:r w:rsidR="00D613B9" w:rsidRPr="00E11944">
        <w:rPr>
          <w:rFonts w:ascii="Times New Roman" w:eastAsia="Times New Roman" w:hAnsi="Times New Roman"/>
          <w:b w:val="0"/>
          <w:bCs w:val="0"/>
          <w:sz w:val="28"/>
          <w:szCs w:val="22"/>
        </w:rPr>
        <w:t xml:space="preserve"> (6</w:t>
      </w:r>
      <w:r w:rsidR="00752FA1" w:rsidRPr="00E11944">
        <w:rPr>
          <w:rFonts w:ascii="Times New Roman" w:eastAsia="Times New Roman" w:hAnsi="Times New Roman"/>
          <w:b w:val="0"/>
          <w:bCs w:val="0"/>
          <w:sz w:val="28"/>
          <w:szCs w:val="22"/>
        </w:rPr>
        <w:t>8,</w:t>
      </w:r>
      <w:r w:rsidR="00F14949" w:rsidRPr="00E11944">
        <w:rPr>
          <w:rFonts w:ascii="Times New Roman" w:eastAsia="Times New Roman" w:hAnsi="Times New Roman"/>
          <w:b w:val="0"/>
          <w:bCs w:val="0"/>
          <w:sz w:val="28"/>
          <w:szCs w:val="22"/>
        </w:rPr>
        <w:t>7</w:t>
      </w:r>
      <w:r w:rsidRPr="00E11944">
        <w:rPr>
          <w:rFonts w:ascii="Times New Roman" w:eastAsia="Times New Roman" w:hAnsi="Times New Roman"/>
          <w:b w:val="0"/>
          <w:bCs w:val="0"/>
          <w:sz w:val="28"/>
          <w:szCs w:val="22"/>
        </w:rPr>
        <w:t>% от общего числа показателей);</w:t>
      </w:r>
    </w:p>
    <w:p w:rsidR="009C4E83" w:rsidRPr="00E11944" w:rsidRDefault="009C4E83" w:rsidP="009C4E83">
      <w:pPr>
        <w:pStyle w:val="330"/>
        <w:numPr>
          <w:ilvl w:val="0"/>
          <w:numId w:val="1"/>
        </w:numPr>
        <w:shd w:val="clear" w:color="auto" w:fill="auto"/>
        <w:tabs>
          <w:tab w:val="left" w:pos="1276"/>
        </w:tabs>
        <w:spacing w:before="0" w:after="0" w:line="240" w:lineRule="auto"/>
        <w:ind w:left="0" w:right="-1" w:firstLine="709"/>
        <w:rPr>
          <w:rFonts w:ascii="Times New Roman" w:eastAsia="Times New Roman" w:hAnsi="Times New Roman"/>
          <w:b w:val="0"/>
          <w:bCs w:val="0"/>
          <w:sz w:val="28"/>
          <w:szCs w:val="22"/>
        </w:rPr>
      </w:pPr>
      <w:r w:rsidRPr="00E11944">
        <w:rPr>
          <w:rFonts w:ascii="Times New Roman" w:eastAsia="Times New Roman" w:hAnsi="Times New Roman"/>
          <w:b w:val="0"/>
          <w:bCs w:val="0"/>
          <w:sz w:val="28"/>
          <w:szCs w:val="22"/>
        </w:rPr>
        <w:t xml:space="preserve">значительно перевыполнены (более 150%) – </w:t>
      </w:r>
      <w:r w:rsidR="00D628E1" w:rsidRPr="00E11944">
        <w:rPr>
          <w:rFonts w:ascii="Times New Roman" w:eastAsia="Times New Roman" w:hAnsi="Times New Roman"/>
          <w:b w:val="0"/>
          <w:bCs w:val="0"/>
          <w:sz w:val="28"/>
          <w:szCs w:val="22"/>
        </w:rPr>
        <w:t>39</w:t>
      </w:r>
      <w:r w:rsidRPr="00E11944">
        <w:rPr>
          <w:rFonts w:ascii="Times New Roman" w:eastAsia="Times New Roman" w:hAnsi="Times New Roman"/>
          <w:b w:val="0"/>
          <w:bCs w:val="0"/>
          <w:sz w:val="28"/>
          <w:szCs w:val="22"/>
        </w:rPr>
        <w:t xml:space="preserve"> (</w:t>
      </w:r>
      <w:r w:rsidR="00D628E1" w:rsidRPr="00E11944">
        <w:rPr>
          <w:rFonts w:ascii="Times New Roman" w:eastAsia="Times New Roman" w:hAnsi="Times New Roman"/>
          <w:b w:val="0"/>
          <w:bCs w:val="0"/>
          <w:sz w:val="28"/>
          <w:szCs w:val="22"/>
        </w:rPr>
        <w:t>7,4</w:t>
      </w:r>
      <w:r w:rsidRPr="00E11944">
        <w:rPr>
          <w:rFonts w:ascii="Times New Roman" w:eastAsia="Times New Roman" w:hAnsi="Times New Roman"/>
          <w:b w:val="0"/>
          <w:bCs w:val="0"/>
          <w:sz w:val="28"/>
          <w:szCs w:val="22"/>
        </w:rPr>
        <w:t>%);</w:t>
      </w:r>
    </w:p>
    <w:p w:rsidR="009C4E83" w:rsidRPr="00E11944" w:rsidRDefault="009C4E83" w:rsidP="009C4E83">
      <w:pPr>
        <w:pStyle w:val="330"/>
        <w:numPr>
          <w:ilvl w:val="0"/>
          <w:numId w:val="1"/>
        </w:numPr>
        <w:shd w:val="clear" w:color="auto" w:fill="auto"/>
        <w:tabs>
          <w:tab w:val="left" w:pos="1276"/>
        </w:tabs>
        <w:spacing w:before="0" w:after="0" w:line="240" w:lineRule="auto"/>
        <w:ind w:left="0" w:right="-1" w:firstLine="709"/>
        <w:rPr>
          <w:rFonts w:ascii="Times New Roman" w:eastAsia="Times New Roman" w:hAnsi="Times New Roman"/>
          <w:b w:val="0"/>
          <w:bCs w:val="0"/>
          <w:sz w:val="28"/>
          <w:szCs w:val="22"/>
        </w:rPr>
      </w:pPr>
      <w:r w:rsidRPr="00E11944">
        <w:rPr>
          <w:rFonts w:ascii="Times New Roman" w:eastAsia="Times New Roman" w:hAnsi="Times New Roman"/>
          <w:b w:val="0"/>
          <w:bCs w:val="0"/>
          <w:sz w:val="28"/>
          <w:szCs w:val="22"/>
        </w:rPr>
        <w:t>имеют среднюю степень достижения (от 85 до 99,5%) – 6</w:t>
      </w:r>
      <w:r w:rsidR="00F14949" w:rsidRPr="00E11944">
        <w:rPr>
          <w:rFonts w:ascii="Times New Roman" w:eastAsia="Times New Roman" w:hAnsi="Times New Roman"/>
          <w:b w:val="0"/>
          <w:bCs w:val="0"/>
          <w:sz w:val="28"/>
          <w:szCs w:val="22"/>
        </w:rPr>
        <w:t xml:space="preserve">7 </w:t>
      </w:r>
      <w:r w:rsidRPr="00E11944">
        <w:rPr>
          <w:rFonts w:ascii="Times New Roman" w:eastAsia="Times New Roman" w:hAnsi="Times New Roman"/>
          <w:b w:val="0"/>
          <w:bCs w:val="0"/>
          <w:sz w:val="28"/>
          <w:szCs w:val="22"/>
        </w:rPr>
        <w:t>(</w:t>
      </w:r>
      <w:r w:rsidR="00D613B9" w:rsidRPr="00E11944">
        <w:rPr>
          <w:rFonts w:ascii="Times New Roman" w:eastAsia="Times New Roman" w:hAnsi="Times New Roman"/>
          <w:b w:val="0"/>
          <w:bCs w:val="0"/>
          <w:sz w:val="28"/>
          <w:szCs w:val="22"/>
        </w:rPr>
        <w:t>12,</w:t>
      </w:r>
      <w:r w:rsidR="00F14949" w:rsidRPr="00E11944">
        <w:rPr>
          <w:rFonts w:ascii="Times New Roman" w:eastAsia="Times New Roman" w:hAnsi="Times New Roman"/>
          <w:b w:val="0"/>
          <w:bCs w:val="0"/>
          <w:sz w:val="28"/>
          <w:szCs w:val="22"/>
        </w:rPr>
        <w:t>6</w:t>
      </w:r>
      <w:r w:rsidRPr="00E11944">
        <w:rPr>
          <w:rFonts w:ascii="Times New Roman" w:eastAsia="Times New Roman" w:hAnsi="Times New Roman"/>
          <w:b w:val="0"/>
          <w:bCs w:val="0"/>
          <w:sz w:val="28"/>
          <w:szCs w:val="22"/>
        </w:rPr>
        <w:t>%);</w:t>
      </w:r>
    </w:p>
    <w:p w:rsidR="009C4E83" w:rsidRPr="00E11944" w:rsidRDefault="009C4E83" w:rsidP="009C4E83">
      <w:pPr>
        <w:pStyle w:val="330"/>
        <w:numPr>
          <w:ilvl w:val="0"/>
          <w:numId w:val="1"/>
        </w:numPr>
        <w:shd w:val="clear" w:color="auto" w:fill="auto"/>
        <w:tabs>
          <w:tab w:val="left" w:pos="1276"/>
        </w:tabs>
        <w:spacing w:before="0" w:after="0" w:line="240" w:lineRule="auto"/>
        <w:ind w:left="0" w:right="-1" w:firstLine="709"/>
        <w:rPr>
          <w:rFonts w:ascii="Times New Roman" w:eastAsia="Times New Roman" w:hAnsi="Times New Roman"/>
          <w:b w:val="0"/>
          <w:bCs w:val="0"/>
          <w:sz w:val="28"/>
          <w:szCs w:val="22"/>
        </w:rPr>
      </w:pPr>
      <w:r w:rsidRPr="00E11944">
        <w:rPr>
          <w:rFonts w:ascii="Times New Roman" w:eastAsia="Times New Roman" w:hAnsi="Times New Roman"/>
          <w:b w:val="0"/>
          <w:bCs w:val="0"/>
          <w:sz w:val="28"/>
          <w:szCs w:val="22"/>
        </w:rPr>
        <w:t xml:space="preserve">имеют низкую степень достижения (ниже 85%) – </w:t>
      </w:r>
      <w:r w:rsidR="00D613B9" w:rsidRPr="00E11944">
        <w:rPr>
          <w:rFonts w:ascii="Times New Roman" w:eastAsia="Times New Roman" w:hAnsi="Times New Roman"/>
          <w:b w:val="0"/>
          <w:bCs w:val="0"/>
          <w:sz w:val="28"/>
          <w:szCs w:val="22"/>
        </w:rPr>
        <w:t>28</w:t>
      </w:r>
      <w:r w:rsidRPr="00E11944">
        <w:rPr>
          <w:rFonts w:ascii="Times New Roman" w:eastAsia="Times New Roman" w:hAnsi="Times New Roman"/>
          <w:b w:val="0"/>
          <w:bCs w:val="0"/>
          <w:sz w:val="28"/>
          <w:szCs w:val="22"/>
        </w:rPr>
        <w:t xml:space="preserve"> (</w:t>
      </w:r>
      <w:r w:rsidR="00D613B9" w:rsidRPr="00E11944">
        <w:rPr>
          <w:rFonts w:ascii="Times New Roman" w:eastAsia="Times New Roman" w:hAnsi="Times New Roman"/>
          <w:b w:val="0"/>
          <w:bCs w:val="0"/>
          <w:sz w:val="28"/>
          <w:szCs w:val="22"/>
        </w:rPr>
        <w:t>5,3</w:t>
      </w:r>
      <w:r w:rsidRPr="00E11944">
        <w:rPr>
          <w:rFonts w:ascii="Times New Roman" w:eastAsia="Times New Roman" w:hAnsi="Times New Roman"/>
          <w:b w:val="0"/>
          <w:bCs w:val="0"/>
          <w:sz w:val="28"/>
          <w:szCs w:val="22"/>
        </w:rPr>
        <w:t>%).</w:t>
      </w:r>
    </w:p>
    <w:p w:rsidR="00CD51CC" w:rsidRPr="00E11944" w:rsidRDefault="00CD51CC" w:rsidP="005A5A01">
      <w:r w:rsidRPr="00E11944">
        <w:t xml:space="preserve">По причине отсутствия </w:t>
      </w:r>
      <w:r w:rsidR="004437A7" w:rsidRPr="00E11944">
        <w:t xml:space="preserve">фактических значений </w:t>
      </w:r>
      <w:r w:rsidRPr="00E11944">
        <w:t xml:space="preserve">на момент подготовки </w:t>
      </w:r>
      <w:r w:rsidR="005A0880" w:rsidRPr="00E11944">
        <w:t>доклада</w:t>
      </w:r>
      <w:r w:rsidRPr="00E11944">
        <w:t xml:space="preserve"> по </w:t>
      </w:r>
      <w:r w:rsidR="00D613B9" w:rsidRPr="00E11944">
        <w:t>32</w:t>
      </w:r>
      <w:r w:rsidR="00812A7F" w:rsidRPr="00E11944">
        <w:t xml:space="preserve"> показател</w:t>
      </w:r>
      <w:r w:rsidR="00634122" w:rsidRPr="00E11944">
        <w:t>ям</w:t>
      </w:r>
      <w:r w:rsidR="00812A7F" w:rsidRPr="00E11944">
        <w:t xml:space="preserve"> </w:t>
      </w:r>
      <w:r w:rsidRPr="00E11944">
        <w:t xml:space="preserve">указаны </w:t>
      </w:r>
      <w:r w:rsidR="00812A7F" w:rsidRPr="00E11944">
        <w:t xml:space="preserve">предварительные или </w:t>
      </w:r>
      <w:r w:rsidR="00643F33" w:rsidRPr="00E11944">
        <w:t>оценочные данные</w:t>
      </w:r>
      <w:r w:rsidR="00FD0612" w:rsidRPr="00E11944">
        <w:t xml:space="preserve"> (не участвуют в оценке)</w:t>
      </w:r>
      <w:r w:rsidR="00643F33" w:rsidRPr="00E11944">
        <w:t>.</w:t>
      </w:r>
    </w:p>
    <w:p w:rsidR="008D2A7E" w:rsidRPr="00E11944" w:rsidRDefault="002F7E46" w:rsidP="008D2A7E">
      <w:r w:rsidRPr="00E11944">
        <w:t xml:space="preserve">Основными причинами низкой или средней степени достижения показателей являются невыполнение в установленные сроки соответствующих мероприятий, </w:t>
      </w:r>
      <w:r w:rsidR="00983C9D" w:rsidRPr="00E11944">
        <w:t xml:space="preserve">изменение параметров, используемых в расчете показателей государственных программ, влияние на которые в рамках государственных программ отсутствует или мало (внешние факторы), изменение методик расчета показателей, </w:t>
      </w:r>
      <w:r w:rsidR="008D2A7E" w:rsidRPr="00E11944">
        <w:t>некорректн</w:t>
      </w:r>
      <w:r w:rsidRPr="00E11944">
        <w:t>ое</w:t>
      </w:r>
      <w:r w:rsidR="008D2A7E" w:rsidRPr="00E11944">
        <w:t xml:space="preserve"> установление плановых значений</w:t>
      </w:r>
      <w:r w:rsidRPr="00E11944">
        <w:t xml:space="preserve"> отдельных показателей</w:t>
      </w:r>
      <w:r w:rsidR="008D2A7E" w:rsidRPr="00E11944">
        <w:t xml:space="preserve">. </w:t>
      </w:r>
    </w:p>
    <w:p w:rsidR="008D2A7E" w:rsidRPr="00E11944" w:rsidRDefault="008D2A7E" w:rsidP="008D2A7E">
      <w:r w:rsidRPr="00E11944">
        <w:lastRenderedPageBreak/>
        <w:t>Сведения о достижении значений показателей государственных программ Мурманской области за 201</w:t>
      </w:r>
      <w:r w:rsidR="00D613B9" w:rsidRPr="00E11944">
        <w:t>9</w:t>
      </w:r>
      <w:r w:rsidRPr="00E11944">
        <w:t xml:space="preserve"> год приведены в приложении </w:t>
      </w:r>
      <w:r w:rsidR="00326080" w:rsidRPr="00E11944">
        <w:t>№1</w:t>
      </w:r>
      <w:r w:rsidRPr="00E11944">
        <w:t>.</w:t>
      </w:r>
    </w:p>
    <w:p w:rsidR="00422948" w:rsidRPr="00E11944" w:rsidRDefault="00422948" w:rsidP="008D2A7E"/>
    <w:p w:rsidR="009C4E83" w:rsidRPr="00E11944" w:rsidRDefault="00EB4F73" w:rsidP="009C4E83">
      <w:pPr>
        <w:ind w:firstLine="0"/>
      </w:pPr>
      <w:r w:rsidRPr="00E11944">
        <w:rPr>
          <w:noProof/>
        </w:rPr>
        <w:drawing>
          <wp:inline distT="0" distB="0" distL="0" distR="0">
            <wp:extent cx="6120130" cy="2861409"/>
            <wp:effectExtent l="19050" t="0" r="13970" b="0"/>
            <wp:docPr id="3"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EB4F73" w:rsidRPr="00E11944" w:rsidRDefault="00EB4F73" w:rsidP="006D4287">
      <w:pPr>
        <w:ind w:firstLine="0"/>
        <w:jc w:val="center"/>
        <w:rPr>
          <w:sz w:val="24"/>
          <w:szCs w:val="28"/>
        </w:rPr>
      </w:pPr>
    </w:p>
    <w:p w:rsidR="00F0651A" w:rsidRPr="00E11944" w:rsidRDefault="00F0651A" w:rsidP="006D4287">
      <w:pPr>
        <w:ind w:firstLine="0"/>
        <w:jc w:val="center"/>
        <w:rPr>
          <w:sz w:val="24"/>
          <w:szCs w:val="28"/>
        </w:rPr>
      </w:pPr>
      <w:r w:rsidRPr="00E11944">
        <w:rPr>
          <w:sz w:val="24"/>
          <w:szCs w:val="28"/>
        </w:rPr>
        <w:t xml:space="preserve">Рисунок </w:t>
      </w:r>
      <w:r w:rsidR="00326080" w:rsidRPr="00E11944">
        <w:rPr>
          <w:sz w:val="24"/>
          <w:szCs w:val="28"/>
        </w:rPr>
        <w:t>1</w:t>
      </w:r>
    </w:p>
    <w:p w:rsidR="00B13C05" w:rsidRPr="00E11944" w:rsidRDefault="00B13C05" w:rsidP="00F0651A">
      <w:pPr>
        <w:jc w:val="center"/>
        <w:rPr>
          <w:sz w:val="24"/>
          <w:szCs w:val="28"/>
        </w:rPr>
      </w:pPr>
    </w:p>
    <w:p w:rsidR="003443E8" w:rsidRPr="00E11944" w:rsidRDefault="009C4E83" w:rsidP="009C7FE5">
      <w:r w:rsidRPr="00E11944">
        <w:t>В результате анализа динамики значений показателей по сравнению с 201</w:t>
      </w:r>
      <w:r w:rsidR="00785096" w:rsidRPr="00E11944">
        <w:t>8</w:t>
      </w:r>
      <w:r w:rsidRPr="00E11944">
        <w:t xml:space="preserve"> годом </w:t>
      </w:r>
      <w:r w:rsidR="001303A7" w:rsidRPr="00E11944">
        <w:t>установлено, что</w:t>
      </w:r>
      <w:r w:rsidR="00785096" w:rsidRPr="00E11944">
        <w:t xml:space="preserve"> только по 20</w:t>
      </w:r>
      <w:r w:rsidR="001303A7" w:rsidRPr="00E11944">
        <w:t>5</w:t>
      </w:r>
      <w:r w:rsidRPr="00E11944">
        <w:t xml:space="preserve"> показателям отм</w:t>
      </w:r>
      <w:r w:rsidR="00785096" w:rsidRPr="00E11944">
        <w:t>ечается улучшение значен</w:t>
      </w:r>
      <w:r w:rsidR="00752FA1" w:rsidRPr="00E11944">
        <w:t>ий (45,</w:t>
      </w:r>
      <w:r w:rsidR="00EB4F73" w:rsidRPr="00E11944">
        <w:t>1</w:t>
      </w:r>
      <w:r w:rsidR="00785096" w:rsidRPr="00E11944">
        <w:t>% из 45</w:t>
      </w:r>
      <w:r w:rsidR="00EB4F73" w:rsidRPr="00E11944">
        <w:t>5</w:t>
      </w:r>
      <w:r w:rsidR="00785096" w:rsidRPr="00E11944">
        <w:t xml:space="preserve"> показателей</w:t>
      </w:r>
      <w:r w:rsidRPr="00E11944">
        <w:t>, по кот</w:t>
      </w:r>
      <w:r w:rsidR="00785096" w:rsidRPr="00E11944">
        <w:t>орым оценивается динамика), у 15</w:t>
      </w:r>
      <w:r w:rsidR="0061077A" w:rsidRPr="00E11944">
        <w:t>4</w:t>
      </w:r>
      <w:r w:rsidR="00785096" w:rsidRPr="00E11944">
        <w:t xml:space="preserve"> показателей (</w:t>
      </w:r>
      <w:r w:rsidR="0061077A" w:rsidRPr="00E11944">
        <w:t>33,8</w:t>
      </w:r>
      <w:r w:rsidRPr="00E11944">
        <w:t>%) зна</w:t>
      </w:r>
      <w:r w:rsidR="00785096" w:rsidRPr="00E11944">
        <w:t>чения сохранились на уровне 2018</w:t>
      </w:r>
      <w:r w:rsidRPr="00E11944">
        <w:t xml:space="preserve"> года (в</w:t>
      </w:r>
      <w:r w:rsidR="00785096" w:rsidRPr="00E11944">
        <w:t xml:space="preserve"> диапазоне от 99 до 101%), по 9</w:t>
      </w:r>
      <w:r w:rsidR="0061077A" w:rsidRPr="00E11944">
        <w:t>6</w:t>
      </w:r>
      <w:r w:rsidR="008861BF" w:rsidRPr="00E11944">
        <w:t xml:space="preserve"> показателям</w:t>
      </w:r>
      <w:r w:rsidR="00785096" w:rsidRPr="00E11944">
        <w:t xml:space="preserve"> (</w:t>
      </w:r>
      <w:r w:rsidR="0061077A" w:rsidRPr="00E11944">
        <w:t>21,1</w:t>
      </w:r>
      <w:r w:rsidRPr="00E11944">
        <w:t xml:space="preserve">%) значения </w:t>
      </w:r>
      <w:r w:rsidR="00583A54" w:rsidRPr="00E11944">
        <w:t>ухудшились</w:t>
      </w:r>
      <w:r w:rsidR="00AE727B" w:rsidRPr="00E11944">
        <w:t xml:space="preserve"> (Рисунок </w:t>
      </w:r>
      <w:r w:rsidR="00326080" w:rsidRPr="00E11944">
        <w:t>2</w:t>
      </w:r>
      <w:r w:rsidR="00AE727B" w:rsidRPr="00E11944">
        <w:t>)</w:t>
      </w:r>
      <w:r w:rsidR="00583A54" w:rsidRPr="00E11944">
        <w:t>.</w:t>
      </w:r>
    </w:p>
    <w:p w:rsidR="00BB68C9" w:rsidRPr="00E11944" w:rsidRDefault="00BB68C9" w:rsidP="009C7FE5"/>
    <w:p w:rsidR="00422948" w:rsidRPr="00E11944" w:rsidRDefault="0061077A" w:rsidP="001B2DE8">
      <w:pPr>
        <w:ind w:firstLine="0"/>
        <w:jc w:val="center"/>
      </w:pPr>
      <w:r w:rsidRPr="00E11944">
        <w:drawing>
          <wp:inline distT="0" distB="0" distL="0" distR="0">
            <wp:extent cx="6120130" cy="2967527"/>
            <wp:effectExtent l="19050" t="0" r="13970" b="4273"/>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AE727B" w:rsidRPr="00E11944" w:rsidRDefault="00AE727B" w:rsidP="00AE727B">
      <w:pPr>
        <w:ind w:firstLine="0"/>
        <w:jc w:val="center"/>
        <w:rPr>
          <w:sz w:val="24"/>
          <w:szCs w:val="28"/>
        </w:rPr>
      </w:pPr>
      <w:r w:rsidRPr="00E11944">
        <w:rPr>
          <w:sz w:val="24"/>
          <w:szCs w:val="28"/>
        </w:rPr>
        <w:t xml:space="preserve">Рисунок </w:t>
      </w:r>
      <w:r w:rsidR="00E63BF7" w:rsidRPr="00E11944">
        <w:rPr>
          <w:sz w:val="24"/>
          <w:szCs w:val="28"/>
        </w:rPr>
        <w:t>2</w:t>
      </w:r>
    </w:p>
    <w:p w:rsidR="00591F97" w:rsidRPr="00E11944" w:rsidRDefault="00591F97" w:rsidP="009C7FE5">
      <w:pPr>
        <w:rPr>
          <w:b/>
        </w:rPr>
      </w:pPr>
    </w:p>
    <w:p w:rsidR="001F0870" w:rsidRPr="00E11944" w:rsidRDefault="001F0870">
      <w:pPr>
        <w:ind w:firstLine="0"/>
        <w:jc w:val="left"/>
        <w:rPr>
          <w:b/>
        </w:rPr>
      </w:pPr>
      <w:r w:rsidRPr="00E11944">
        <w:rPr>
          <w:b/>
        </w:rPr>
        <w:br w:type="page"/>
      </w:r>
    </w:p>
    <w:p w:rsidR="00AE727B" w:rsidRPr="00E11944" w:rsidRDefault="007A6231" w:rsidP="009C7FE5">
      <w:pPr>
        <w:rPr>
          <w:b/>
        </w:rPr>
      </w:pPr>
      <w:r w:rsidRPr="00E11944">
        <w:rPr>
          <w:b/>
        </w:rPr>
        <w:lastRenderedPageBreak/>
        <w:t>2. Реализация мероприятий</w:t>
      </w:r>
    </w:p>
    <w:p w:rsidR="003F33E7" w:rsidRPr="00E11944" w:rsidRDefault="003F33E7" w:rsidP="003F33E7">
      <w:pPr>
        <w:rPr>
          <w:szCs w:val="28"/>
        </w:rPr>
      </w:pPr>
      <w:r w:rsidRPr="00E11944">
        <w:rPr>
          <w:szCs w:val="28"/>
        </w:rPr>
        <w:t>По всем государственным программам в 201</w:t>
      </w:r>
      <w:r w:rsidR="00785096" w:rsidRPr="00E11944">
        <w:rPr>
          <w:szCs w:val="28"/>
        </w:rPr>
        <w:t>9</w:t>
      </w:r>
      <w:r w:rsidRPr="00E11944">
        <w:rPr>
          <w:szCs w:val="28"/>
        </w:rPr>
        <w:t xml:space="preserve"> году планировалось выполнить 1</w:t>
      </w:r>
      <w:r w:rsidR="00785096" w:rsidRPr="00E11944">
        <w:rPr>
          <w:szCs w:val="28"/>
        </w:rPr>
        <w:t>1</w:t>
      </w:r>
      <w:r w:rsidR="00093198" w:rsidRPr="00E11944">
        <w:rPr>
          <w:szCs w:val="28"/>
        </w:rPr>
        <w:t>49</w:t>
      </w:r>
      <w:r w:rsidRPr="00E11944">
        <w:rPr>
          <w:szCs w:val="28"/>
        </w:rPr>
        <w:t xml:space="preserve"> мероприятий (Рисунок 3), из них в полном объеме выполнено </w:t>
      </w:r>
      <w:r w:rsidR="00093198" w:rsidRPr="00E11944">
        <w:rPr>
          <w:szCs w:val="28"/>
        </w:rPr>
        <w:t>935</w:t>
      </w:r>
      <w:r w:rsidR="00E362CD" w:rsidRPr="00E11944">
        <w:rPr>
          <w:szCs w:val="28"/>
        </w:rPr>
        <w:t xml:space="preserve"> </w:t>
      </w:r>
      <w:r w:rsidRPr="00E11944">
        <w:rPr>
          <w:szCs w:val="28"/>
        </w:rPr>
        <w:t>мероприяти</w:t>
      </w:r>
      <w:r w:rsidR="00093198" w:rsidRPr="00E11944">
        <w:rPr>
          <w:szCs w:val="28"/>
        </w:rPr>
        <w:t>й</w:t>
      </w:r>
      <w:r w:rsidRPr="00E11944">
        <w:rPr>
          <w:szCs w:val="28"/>
        </w:rPr>
        <w:t xml:space="preserve"> (8</w:t>
      </w:r>
      <w:r w:rsidR="00785096" w:rsidRPr="00E11944">
        <w:rPr>
          <w:szCs w:val="28"/>
        </w:rPr>
        <w:t>1,</w:t>
      </w:r>
      <w:r w:rsidR="00093198" w:rsidRPr="00E11944">
        <w:rPr>
          <w:szCs w:val="28"/>
        </w:rPr>
        <w:t>4</w:t>
      </w:r>
      <w:r w:rsidR="00785096" w:rsidRPr="00E11944">
        <w:rPr>
          <w:szCs w:val="28"/>
        </w:rPr>
        <w:t xml:space="preserve"> </w:t>
      </w:r>
      <w:r w:rsidRPr="00E11944">
        <w:rPr>
          <w:szCs w:val="28"/>
        </w:rPr>
        <w:t xml:space="preserve">%), частично – </w:t>
      </w:r>
      <w:r w:rsidR="00785096" w:rsidRPr="00E11944">
        <w:rPr>
          <w:szCs w:val="28"/>
        </w:rPr>
        <w:t>152</w:t>
      </w:r>
      <w:r w:rsidR="00E362CD" w:rsidRPr="00E11944">
        <w:rPr>
          <w:szCs w:val="28"/>
        </w:rPr>
        <w:t xml:space="preserve"> (</w:t>
      </w:r>
      <w:r w:rsidR="00B65B08" w:rsidRPr="00E11944">
        <w:rPr>
          <w:szCs w:val="28"/>
        </w:rPr>
        <w:t>13,2</w:t>
      </w:r>
      <w:r w:rsidR="00093198" w:rsidRPr="00E11944">
        <w:rPr>
          <w:szCs w:val="28"/>
        </w:rPr>
        <w:t>%), не выполнено – 62</w:t>
      </w:r>
      <w:r w:rsidRPr="00E11944">
        <w:rPr>
          <w:szCs w:val="28"/>
        </w:rPr>
        <w:t xml:space="preserve"> (</w:t>
      </w:r>
      <w:r w:rsidR="00093198" w:rsidRPr="00E11944">
        <w:rPr>
          <w:szCs w:val="28"/>
        </w:rPr>
        <w:t>5,4</w:t>
      </w:r>
      <w:r w:rsidRPr="00E11944">
        <w:rPr>
          <w:szCs w:val="28"/>
        </w:rPr>
        <w:t>%).</w:t>
      </w:r>
    </w:p>
    <w:p w:rsidR="007B131E" w:rsidRPr="00E11944" w:rsidRDefault="007B131E" w:rsidP="003F33E7">
      <w:pPr>
        <w:ind w:firstLine="0"/>
        <w:jc w:val="center"/>
        <w:rPr>
          <w:noProof/>
        </w:rPr>
      </w:pPr>
    </w:p>
    <w:p w:rsidR="007B131E" w:rsidRPr="00E11944" w:rsidRDefault="00B65B08" w:rsidP="003F33E7">
      <w:pPr>
        <w:ind w:firstLine="0"/>
        <w:jc w:val="center"/>
        <w:rPr>
          <w:noProof/>
        </w:rPr>
      </w:pPr>
      <w:r w:rsidRPr="00E11944">
        <w:rPr>
          <w:noProof/>
        </w:rPr>
        <w:drawing>
          <wp:inline distT="0" distB="0" distL="0" distR="0">
            <wp:extent cx="6103957" cy="2927356"/>
            <wp:effectExtent l="19050" t="0" r="11093" b="6344"/>
            <wp:docPr id="8"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3F33E7" w:rsidRPr="00E11944" w:rsidRDefault="003F33E7" w:rsidP="003F33E7">
      <w:pPr>
        <w:ind w:firstLine="0"/>
        <w:jc w:val="center"/>
        <w:rPr>
          <w:sz w:val="24"/>
          <w:szCs w:val="28"/>
        </w:rPr>
      </w:pPr>
      <w:r w:rsidRPr="00E11944">
        <w:rPr>
          <w:sz w:val="24"/>
          <w:szCs w:val="28"/>
        </w:rPr>
        <w:t>Рисунок 3</w:t>
      </w:r>
    </w:p>
    <w:p w:rsidR="007B131E" w:rsidRPr="00E11944" w:rsidRDefault="007B131E" w:rsidP="003F33E7">
      <w:pPr>
        <w:ind w:firstLine="0"/>
        <w:jc w:val="center"/>
        <w:rPr>
          <w:sz w:val="24"/>
          <w:szCs w:val="28"/>
        </w:rPr>
      </w:pPr>
    </w:p>
    <w:p w:rsidR="007B131E" w:rsidRPr="00E11944" w:rsidRDefault="007B131E" w:rsidP="003F33E7">
      <w:pPr>
        <w:ind w:firstLine="0"/>
        <w:jc w:val="center"/>
        <w:rPr>
          <w:sz w:val="24"/>
          <w:szCs w:val="28"/>
        </w:rPr>
      </w:pPr>
    </w:p>
    <w:p w:rsidR="00AA3C3C" w:rsidRPr="00E11944" w:rsidRDefault="003F33E7" w:rsidP="003F33E7">
      <w:pPr>
        <w:rPr>
          <w:bCs/>
          <w:color w:val="FF0000"/>
          <w:szCs w:val="28"/>
        </w:rPr>
      </w:pPr>
      <w:r w:rsidRPr="00E11944">
        <w:rPr>
          <w:bCs/>
          <w:szCs w:val="28"/>
        </w:rPr>
        <w:t>Основными причинами выполнения мероприятий не в полном объеме и (или) с нарушением плановых сроков являются:</w:t>
      </w:r>
      <w:r w:rsidR="008B18C2" w:rsidRPr="00E11944">
        <w:rPr>
          <w:bCs/>
          <w:szCs w:val="28"/>
        </w:rPr>
        <w:t xml:space="preserve"> </w:t>
      </w:r>
    </w:p>
    <w:p w:rsidR="003F33E7" w:rsidRPr="00E11944" w:rsidRDefault="003F33E7" w:rsidP="003F33E7">
      <w:pPr>
        <w:rPr>
          <w:bCs/>
          <w:szCs w:val="28"/>
        </w:rPr>
      </w:pPr>
      <w:r w:rsidRPr="00E11944">
        <w:rPr>
          <w:bCs/>
          <w:szCs w:val="28"/>
        </w:rPr>
        <w:t xml:space="preserve">- позднее заключение контрактов на поставку товаров, выполнение работ, оказание услуг </w:t>
      </w:r>
      <w:r w:rsidR="006A44AA" w:rsidRPr="00E11944">
        <w:rPr>
          <w:bCs/>
          <w:szCs w:val="28"/>
        </w:rPr>
        <w:t xml:space="preserve">в связи с </w:t>
      </w:r>
      <w:r w:rsidRPr="00E11944">
        <w:rPr>
          <w:bCs/>
          <w:szCs w:val="28"/>
        </w:rPr>
        <w:t>длительност</w:t>
      </w:r>
      <w:r w:rsidR="006A44AA" w:rsidRPr="00E11944">
        <w:rPr>
          <w:bCs/>
          <w:szCs w:val="28"/>
        </w:rPr>
        <w:t>ью</w:t>
      </w:r>
      <w:r w:rsidRPr="00E11944">
        <w:rPr>
          <w:bCs/>
          <w:szCs w:val="28"/>
        </w:rPr>
        <w:t xml:space="preserve"> конкурсных процедур;</w:t>
      </w:r>
    </w:p>
    <w:p w:rsidR="003F33E7" w:rsidRPr="00E11944" w:rsidRDefault="003F33E7" w:rsidP="003F33E7">
      <w:pPr>
        <w:rPr>
          <w:bCs/>
          <w:szCs w:val="28"/>
        </w:rPr>
      </w:pPr>
      <w:r w:rsidRPr="00E11944">
        <w:rPr>
          <w:bCs/>
          <w:szCs w:val="28"/>
        </w:rPr>
        <w:t>- нарушения исполнителями (подрядчиками)</w:t>
      </w:r>
      <w:r w:rsidR="00256E68" w:rsidRPr="00E11944">
        <w:rPr>
          <w:bCs/>
          <w:szCs w:val="28"/>
        </w:rPr>
        <w:t xml:space="preserve"> условий заключенных контрактов, </w:t>
      </w:r>
      <w:r w:rsidR="005E51B9" w:rsidRPr="00E11944">
        <w:rPr>
          <w:bCs/>
          <w:szCs w:val="28"/>
        </w:rPr>
        <w:t>отсутствие инвесторов</w:t>
      </w:r>
      <w:r w:rsidR="00256E68" w:rsidRPr="00E11944">
        <w:rPr>
          <w:bCs/>
          <w:szCs w:val="28"/>
        </w:rPr>
        <w:t>;</w:t>
      </w:r>
    </w:p>
    <w:p w:rsidR="003F33E7" w:rsidRPr="00E11944" w:rsidRDefault="003F33E7" w:rsidP="003F33E7">
      <w:pPr>
        <w:rPr>
          <w:bCs/>
          <w:szCs w:val="28"/>
        </w:rPr>
      </w:pPr>
      <w:r w:rsidRPr="00E11944">
        <w:rPr>
          <w:bCs/>
          <w:szCs w:val="28"/>
        </w:rPr>
        <w:t>-</w:t>
      </w:r>
      <w:r w:rsidR="00645C72" w:rsidRPr="00E11944">
        <w:rPr>
          <w:bCs/>
          <w:szCs w:val="28"/>
        </w:rPr>
        <w:t> </w:t>
      </w:r>
      <w:r w:rsidRPr="00E11944">
        <w:rPr>
          <w:bCs/>
          <w:szCs w:val="28"/>
        </w:rPr>
        <w:t>заявительный характер</w:t>
      </w:r>
      <w:r w:rsidR="00645C72" w:rsidRPr="00E11944">
        <w:rPr>
          <w:bCs/>
          <w:szCs w:val="28"/>
        </w:rPr>
        <w:t xml:space="preserve"> мероприятий по предоставлению государственных услуг и мер социальной поддержки населению</w:t>
      </w:r>
      <w:r w:rsidR="001B511A" w:rsidRPr="00E11944">
        <w:rPr>
          <w:bCs/>
          <w:szCs w:val="28"/>
        </w:rPr>
        <w:t>;</w:t>
      </w:r>
    </w:p>
    <w:p w:rsidR="001B511A" w:rsidRPr="00E11944" w:rsidRDefault="001B511A" w:rsidP="003F33E7">
      <w:pPr>
        <w:rPr>
          <w:bCs/>
          <w:szCs w:val="28"/>
        </w:rPr>
      </w:pPr>
      <w:r w:rsidRPr="00E11944">
        <w:rPr>
          <w:bCs/>
          <w:szCs w:val="28"/>
        </w:rPr>
        <w:t xml:space="preserve">- </w:t>
      </w:r>
      <w:r w:rsidR="001C3429" w:rsidRPr="00E11944">
        <w:rPr>
          <w:bCs/>
          <w:szCs w:val="28"/>
        </w:rPr>
        <w:t xml:space="preserve">удорожание мероприятий, </w:t>
      </w:r>
      <w:r w:rsidR="00785096" w:rsidRPr="00E11944">
        <w:rPr>
          <w:bCs/>
          <w:szCs w:val="28"/>
        </w:rPr>
        <w:t>недостаточность</w:t>
      </w:r>
      <w:r w:rsidRPr="00E11944">
        <w:rPr>
          <w:bCs/>
          <w:szCs w:val="28"/>
        </w:rPr>
        <w:t xml:space="preserve"> </w:t>
      </w:r>
      <w:r w:rsidR="000F166E" w:rsidRPr="00E11944">
        <w:rPr>
          <w:bCs/>
          <w:szCs w:val="28"/>
        </w:rPr>
        <w:t>или позднее поступление финансирования</w:t>
      </w:r>
      <w:r w:rsidR="001303A7" w:rsidRPr="00E11944">
        <w:rPr>
          <w:bCs/>
          <w:szCs w:val="28"/>
        </w:rPr>
        <w:t>;</w:t>
      </w:r>
    </w:p>
    <w:p w:rsidR="001303A7" w:rsidRPr="00E11944" w:rsidRDefault="001303A7" w:rsidP="001303A7">
      <w:pPr>
        <w:rPr>
          <w:bCs/>
          <w:szCs w:val="28"/>
        </w:rPr>
      </w:pPr>
      <w:r w:rsidRPr="00E11944">
        <w:rPr>
          <w:bCs/>
          <w:szCs w:val="28"/>
        </w:rPr>
        <w:t>- внешние факторы, на которые невозможно оказать влияние в рамках государственных программ.</w:t>
      </w:r>
    </w:p>
    <w:p w:rsidR="003F33E7" w:rsidRPr="00E11944" w:rsidRDefault="003F33E7" w:rsidP="003F33E7">
      <w:pPr>
        <w:rPr>
          <w:szCs w:val="28"/>
        </w:rPr>
      </w:pPr>
      <w:r w:rsidRPr="00E11944">
        <w:rPr>
          <w:szCs w:val="28"/>
        </w:rPr>
        <w:t>Сведения о ходе исполнения мероприятий государственных программ за 201</w:t>
      </w:r>
      <w:r w:rsidR="00785096" w:rsidRPr="00E11944">
        <w:rPr>
          <w:szCs w:val="28"/>
        </w:rPr>
        <w:t xml:space="preserve">9 </w:t>
      </w:r>
      <w:r w:rsidRPr="00E11944">
        <w:rPr>
          <w:szCs w:val="28"/>
        </w:rPr>
        <w:t xml:space="preserve">год представлены в разрезе подпрограмм в приложении № </w:t>
      </w:r>
      <w:r w:rsidR="00A946F4" w:rsidRPr="00E11944">
        <w:rPr>
          <w:szCs w:val="28"/>
        </w:rPr>
        <w:t>2</w:t>
      </w:r>
      <w:r w:rsidRPr="00E11944">
        <w:rPr>
          <w:szCs w:val="28"/>
        </w:rPr>
        <w:t>.</w:t>
      </w:r>
    </w:p>
    <w:p w:rsidR="008B18C2" w:rsidRPr="00E11944" w:rsidRDefault="008B18C2" w:rsidP="00785096">
      <w:pPr>
        <w:ind w:firstLine="851"/>
        <w:rPr>
          <w:bCs/>
          <w:szCs w:val="28"/>
        </w:rPr>
      </w:pPr>
    </w:p>
    <w:p w:rsidR="008B18C2" w:rsidRPr="00E11944" w:rsidRDefault="00591F97" w:rsidP="00785096">
      <w:pPr>
        <w:ind w:firstLine="851"/>
        <w:rPr>
          <w:b/>
          <w:bCs/>
          <w:szCs w:val="28"/>
        </w:rPr>
      </w:pPr>
      <w:r w:rsidRPr="00E11944">
        <w:rPr>
          <w:b/>
          <w:bCs/>
          <w:szCs w:val="28"/>
        </w:rPr>
        <w:t>3. Объекты капитального строительства</w:t>
      </w:r>
    </w:p>
    <w:p w:rsidR="00785096" w:rsidRPr="00E11944" w:rsidRDefault="00785096" w:rsidP="00785096">
      <w:pPr>
        <w:ind w:firstLine="851"/>
        <w:rPr>
          <w:szCs w:val="28"/>
        </w:rPr>
      </w:pPr>
      <w:r w:rsidRPr="00E11944">
        <w:rPr>
          <w:bCs/>
          <w:szCs w:val="28"/>
        </w:rPr>
        <w:t xml:space="preserve">По состоянию на конец 2019 года в рамках 9 государственных программ предусматривались строительные и проектно-изыскательские работы на 41 объекте с финансированием в объеме 2 607,7 млн. рублей (приложение № 3). </w:t>
      </w:r>
      <w:r w:rsidRPr="00E11944">
        <w:rPr>
          <w:szCs w:val="28"/>
        </w:rPr>
        <w:t>Плановый объем бюджетных средств увеличился на 58,1% по сравнению с 2018 годом (1 649 млн. рублей), в основном за счет средств, предусмотренных на строительство образовательных учреждений, спортивных и культурных объектов.</w:t>
      </w:r>
    </w:p>
    <w:p w:rsidR="00DC2AD0" w:rsidRPr="00E11944" w:rsidRDefault="00DC2AD0" w:rsidP="00DC2AD0">
      <w:pPr>
        <w:ind w:firstLine="851"/>
        <w:rPr>
          <w:szCs w:val="28"/>
        </w:rPr>
      </w:pPr>
      <w:r w:rsidRPr="00E11944">
        <w:rPr>
          <w:szCs w:val="28"/>
        </w:rPr>
        <w:lastRenderedPageBreak/>
        <w:t>В связи со значительным увеличением в 2019 году объема предусмотренных бюджетных ассигнований можно отметить и рост объема фактически выполненных и принятых в установленном порядке работ (в 2019 году – 1 828,6 млн. рублей, или 70,1 %, в 2018 году – 1 012,7 млн. рублей или 61,4 %).</w:t>
      </w:r>
    </w:p>
    <w:p w:rsidR="00DC2AD0" w:rsidRPr="00E11944" w:rsidRDefault="00DC2AD0" w:rsidP="00DC2AD0">
      <w:pPr>
        <w:ind w:firstLine="851"/>
        <w:rPr>
          <w:szCs w:val="28"/>
        </w:rPr>
      </w:pPr>
      <w:r w:rsidRPr="00E11944">
        <w:rPr>
          <w:szCs w:val="28"/>
        </w:rPr>
        <w:t>За счет средств областного бюджета выполнены работы на сумму 1 122,8 млн. рублей из запланированных 1 429,1 млн. рублей (в 2018 году – 653,5 из 999,8 млн. рублей). Объем выполненных работ за счет ассигнований из федерального бюджета составил 530,8 млн. рублей при плане 707,7 млн. рублей (в 2018 году – 35,5 при плане 98,9 млн. рублей). За счет средств местных бюджетов выполнено работ на сумму 169 млн. рублей из 217,7 млн. рублей запланированных (в 2018 году – 58 из 84,5 млн. рублей). Значительная часть средств израсходована на строительство объектов спортивной инфраструктуры: за счет средств областного бюджета – 501,8 млн. рублей (44,7 % от общего объема), за счет средств федерального бюджета - 271,5 млн. рублей (51,2% от общего объема), за счет средств местного бюджета – 73,1 млн. рублей (43,2 % от общего объема).</w:t>
      </w:r>
    </w:p>
    <w:p w:rsidR="00D80447" w:rsidRPr="00E11944" w:rsidRDefault="00D80447" w:rsidP="00D80447">
      <w:pPr>
        <w:ind w:firstLine="851"/>
        <w:rPr>
          <w:bCs/>
          <w:szCs w:val="28"/>
        </w:rPr>
      </w:pPr>
      <w:r w:rsidRPr="00E11944">
        <w:rPr>
          <w:bCs/>
          <w:szCs w:val="28"/>
        </w:rPr>
        <w:t>На ряде объектов продолжались работы за счет средств, не освоенных в предыдущие годы (выполнение составило 55,2 млн. рублей).</w:t>
      </w:r>
    </w:p>
    <w:p w:rsidR="00785096" w:rsidRPr="00E11944" w:rsidRDefault="00785096" w:rsidP="00785096">
      <w:pPr>
        <w:ind w:firstLine="851"/>
        <w:rPr>
          <w:szCs w:val="28"/>
        </w:rPr>
      </w:pPr>
      <w:r w:rsidRPr="00E11944">
        <w:rPr>
          <w:szCs w:val="28"/>
        </w:rPr>
        <w:t>Всего в 2019 году завершены работы на 11 объектах. Получены разрешения на ввод в эксплуатацию 9 объектов:</w:t>
      </w:r>
    </w:p>
    <w:p w:rsidR="00785096" w:rsidRPr="00E11944" w:rsidRDefault="00785096" w:rsidP="00785096">
      <w:pPr>
        <w:numPr>
          <w:ilvl w:val="0"/>
          <w:numId w:val="9"/>
        </w:numPr>
        <w:tabs>
          <w:tab w:val="left" w:pos="993"/>
        </w:tabs>
        <w:ind w:left="0" w:firstLine="851"/>
        <w:rPr>
          <w:szCs w:val="28"/>
        </w:rPr>
      </w:pPr>
      <w:r w:rsidRPr="00E11944">
        <w:rPr>
          <w:szCs w:val="28"/>
        </w:rPr>
        <w:t>детские сады в г. Полярный ЗАТО Александровск, в ЗАТО г. Североморск, в п. Печенга Печенгского района;</w:t>
      </w:r>
    </w:p>
    <w:p w:rsidR="00785096" w:rsidRPr="00E11944" w:rsidRDefault="00785096" w:rsidP="00785096">
      <w:pPr>
        <w:numPr>
          <w:ilvl w:val="0"/>
          <w:numId w:val="9"/>
        </w:numPr>
        <w:tabs>
          <w:tab w:val="left" w:pos="993"/>
        </w:tabs>
        <w:ind w:left="0" w:firstLine="851"/>
        <w:rPr>
          <w:szCs w:val="28"/>
        </w:rPr>
      </w:pPr>
      <w:r w:rsidRPr="00E11944">
        <w:rPr>
          <w:szCs w:val="28"/>
        </w:rPr>
        <w:t>межшкольный стадион в г. Мурманске (первый этап) (получено разрешение на ввод объекта в эксплуатацию 13.03.2020);</w:t>
      </w:r>
    </w:p>
    <w:p w:rsidR="00785096" w:rsidRPr="00E11944" w:rsidRDefault="00785096" w:rsidP="00785096">
      <w:pPr>
        <w:numPr>
          <w:ilvl w:val="0"/>
          <w:numId w:val="9"/>
        </w:numPr>
        <w:tabs>
          <w:tab w:val="left" w:pos="993"/>
        </w:tabs>
        <w:ind w:left="0" w:firstLine="851"/>
        <w:rPr>
          <w:szCs w:val="28"/>
        </w:rPr>
      </w:pPr>
      <w:r w:rsidRPr="00E11944">
        <w:rPr>
          <w:szCs w:val="28"/>
        </w:rPr>
        <w:t>физкультурно-оздоровительный комплекс в г. Полярные Зори;</w:t>
      </w:r>
    </w:p>
    <w:p w:rsidR="00785096" w:rsidRPr="00E11944" w:rsidRDefault="00785096" w:rsidP="00785096">
      <w:pPr>
        <w:numPr>
          <w:ilvl w:val="0"/>
          <w:numId w:val="9"/>
        </w:numPr>
        <w:tabs>
          <w:tab w:val="left" w:pos="993"/>
        </w:tabs>
        <w:ind w:left="0" w:firstLine="851"/>
        <w:rPr>
          <w:szCs w:val="28"/>
        </w:rPr>
      </w:pPr>
      <w:r w:rsidRPr="00E11944">
        <w:rPr>
          <w:szCs w:val="28"/>
        </w:rPr>
        <w:t>спортивно-оздоровительный центр с искусственным ледовым покрытием в г. Кировске;</w:t>
      </w:r>
    </w:p>
    <w:p w:rsidR="00785096" w:rsidRPr="00E11944" w:rsidRDefault="00785096" w:rsidP="00785096">
      <w:pPr>
        <w:numPr>
          <w:ilvl w:val="0"/>
          <w:numId w:val="9"/>
        </w:numPr>
        <w:tabs>
          <w:tab w:val="left" w:pos="993"/>
        </w:tabs>
        <w:ind w:left="0" w:firstLine="851"/>
        <w:rPr>
          <w:szCs w:val="28"/>
        </w:rPr>
      </w:pPr>
      <w:r w:rsidRPr="00E11944">
        <w:rPr>
          <w:szCs w:val="28"/>
        </w:rPr>
        <w:t>комплекс сооружений насосной станции водозабора г. Заполярный;</w:t>
      </w:r>
    </w:p>
    <w:p w:rsidR="00785096" w:rsidRPr="00E11944" w:rsidRDefault="00785096" w:rsidP="00785096">
      <w:pPr>
        <w:numPr>
          <w:ilvl w:val="0"/>
          <w:numId w:val="9"/>
        </w:numPr>
        <w:tabs>
          <w:tab w:val="left" w:pos="993"/>
        </w:tabs>
        <w:ind w:left="0" w:firstLine="851"/>
        <w:rPr>
          <w:szCs w:val="28"/>
        </w:rPr>
      </w:pPr>
      <w:r w:rsidRPr="00E11944">
        <w:rPr>
          <w:szCs w:val="28"/>
        </w:rPr>
        <w:t xml:space="preserve">автоматизированные модульные угольные котельные в н.п. Белое море и н.п. Лейпи; </w:t>
      </w:r>
    </w:p>
    <w:p w:rsidR="00785096" w:rsidRPr="00E11944" w:rsidRDefault="00785096" w:rsidP="00785096">
      <w:pPr>
        <w:numPr>
          <w:ilvl w:val="0"/>
          <w:numId w:val="9"/>
        </w:numPr>
        <w:tabs>
          <w:tab w:val="left" w:pos="993"/>
        </w:tabs>
        <w:ind w:left="0" w:firstLine="851"/>
        <w:rPr>
          <w:szCs w:val="28"/>
        </w:rPr>
      </w:pPr>
      <w:r w:rsidRPr="00E11944">
        <w:rPr>
          <w:szCs w:val="28"/>
        </w:rPr>
        <w:t>участок проезда (моста) в н.п. Североморск-3.</w:t>
      </w:r>
    </w:p>
    <w:p w:rsidR="00785096" w:rsidRPr="00E11944" w:rsidRDefault="00785096" w:rsidP="00785096">
      <w:pPr>
        <w:tabs>
          <w:tab w:val="left" w:pos="993"/>
        </w:tabs>
        <w:ind w:firstLine="851"/>
        <w:rPr>
          <w:szCs w:val="28"/>
        </w:rPr>
      </w:pPr>
      <w:r w:rsidRPr="00E11944">
        <w:rPr>
          <w:szCs w:val="28"/>
        </w:rPr>
        <w:t>Кроме того, введены 2 объекта, разрешение на ввод в эксплуатацию которых не требовалось: межшкольный стадион в г. Мурманске (второй этап), а также поле с искусственным покрытием для мини-футбола в селе Тулома.</w:t>
      </w:r>
    </w:p>
    <w:p w:rsidR="00785096" w:rsidRPr="00E11944" w:rsidRDefault="00785096" w:rsidP="00785096">
      <w:pPr>
        <w:ind w:firstLine="851"/>
        <w:rPr>
          <w:bCs/>
          <w:szCs w:val="28"/>
        </w:rPr>
      </w:pPr>
      <w:r w:rsidRPr="00E11944">
        <w:rPr>
          <w:bCs/>
          <w:szCs w:val="28"/>
        </w:rPr>
        <w:t>Работы с отставанием от графика осуществлялись на 16 объектах (Рисунок 4). Основными причинами отставания являлись: невыполнение подрядными организациями взятых на себя обязательств, выявление необходимости проведения дополнительных работ в ходе строительства объектов.</w:t>
      </w:r>
    </w:p>
    <w:p w:rsidR="00785096" w:rsidRPr="00E11944" w:rsidRDefault="00785096" w:rsidP="00785096">
      <w:pPr>
        <w:ind w:firstLine="851"/>
        <w:rPr>
          <w:szCs w:val="28"/>
        </w:rPr>
      </w:pPr>
      <w:r w:rsidRPr="00E11944">
        <w:rPr>
          <w:szCs w:val="28"/>
        </w:rPr>
        <w:t>В 2019 году не выполнялись работы по 3 объектам:</w:t>
      </w:r>
    </w:p>
    <w:p w:rsidR="00785096" w:rsidRPr="00E11944" w:rsidRDefault="00785096" w:rsidP="00785096">
      <w:pPr>
        <w:numPr>
          <w:ilvl w:val="0"/>
          <w:numId w:val="18"/>
        </w:numPr>
        <w:tabs>
          <w:tab w:val="left" w:pos="1134"/>
        </w:tabs>
        <w:ind w:left="0" w:firstLine="851"/>
        <w:rPr>
          <w:szCs w:val="28"/>
        </w:rPr>
      </w:pPr>
      <w:r w:rsidRPr="00E11944">
        <w:rPr>
          <w:szCs w:val="28"/>
        </w:rPr>
        <w:t xml:space="preserve">не осуществлялось строительство пожарного водоема (резервуара) на горнолыжном комплексе ГАУМО «Мончегорская СШОР по горнолыжному </w:t>
      </w:r>
      <w:r w:rsidRPr="00E11944">
        <w:rPr>
          <w:szCs w:val="28"/>
        </w:rPr>
        <w:lastRenderedPageBreak/>
        <w:t>спорту» в связи с несостоявшимся аукционом ввиду отсутствия заявок подрядчиков;</w:t>
      </w:r>
    </w:p>
    <w:p w:rsidR="00785096" w:rsidRPr="00E11944" w:rsidRDefault="00785096" w:rsidP="00785096">
      <w:pPr>
        <w:numPr>
          <w:ilvl w:val="0"/>
          <w:numId w:val="18"/>
        </w:numPr>
        <w:tabs>
          <w:tab w:val="left" w:pos="1134"/>
        </w:tabs>
        <w:ind w:left="0" w:firstLine="851"/>
        <w:rPr>
          <w:szCs w:val="28"/>
        </w:rPr>
      </w:pPr>
      <w:r w:rsidRPr="00E11944">
        <w:rPr>
          <w:szCs w:val="28"/>
        </w:rPr>
        <w:t>не завершены работы по вводу в эксплуатацию системы централизованного теплоснабжения н.п. Зеленоборский Кандалакшского района в связи с продолжающимся поиском инвестора;</w:t>
      </w:r>
    </w:p>
    <w:p w:rsidR="00785096" w:rsidRPr="00E11944" w:rsidRDefault="00785096" w:rsidP="00785096">
      <w:pPr>
        <w:numPr>
          <w:ilvl w:val="0"/>
          <w:numId w:val="18"/>
        </w:numPr>
        <w:tabs>
          <w:tab w:val="left" w:pos="1134"/>
        </w:tabs>
        <w:ind w:left="0" w:firstLine="851"/>
        <w:rPr>
          <w:szCs w:val="28"/>
        </w:rPr>
      </w:pPr>
      <w:r w:rsidRPr="00E11944">
        <w:rPr>
          <w:szCs w:val="28"/>
        </w:rPr>
        <w:t>вследствие отсутствия инвестора не выполнялись работы по реконструкции системы централизованного теплоснабжения микрорайона Лесозавод г.п. Кандалакша.</w:t>
      </w:r>
    </w:p>
    <w:p w:rsidR="00785096" w:rsidRPr="00E11944" w:rsidRDefault="00785096" w:rsidP="00785096">
      <w:pPr>
        <w:tabs>
          <w:tab w:val="left" w:pos="993"/>
        </w:tabs>
        <w:ind w:firstLine="851"/>
        <w:rPr>
          <w:szCs w:val="28"/>
        </w:rPr>
      </w:pPr>
    </w:p>
    <w:p w:rsidR="00785096" w:rsidRPr="00E11944" w:rsidRDefault="00785096" w:rsidP="00785096">
      <w:pPr>
        <w:rPr>
          <w:bCs/>
          <w:szCs w:val="28"/>
        </w:rPr>
      </w:pPr>
    </w:p>
    <w:p w:rsidR="00785096" w:rsidRPr="00E11944" w:rsidRDefault="00D5649E" w:rsidP="00785096">
      <w:pPr>
        <w:rPr>
          <w:bCs/>
          <w:szCs w:val="28"/>
        </w:rPr>
      </w:pPr>
      <w:r w:rsidRPr="00E11944">
        <w:rPr>
          <w:noProof/>
          <w:szCs w:val="28"/>
        </w:rPr>
        <w:drawing>
          <wp:inline distT="0" distB="0" distL="0" distR="0">
            <wp:extent cx="5391023" cy="3102864"/>
            <wp:effectExtent l="12192" t="6096" r="3810" b="0"/>
            <wp:docPr id="4" name="Диаграмма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785096" w:rsidRPr="00E11944" w:rsidRDefault="00785096" w:rsidP="00785096">
      <w:pPr>
        <w:jc w:val="center"/>
        <w:rPr>
          <w:bCs/>
          <w:szCs w:val="28"/>
        </w:rPr>
      </w:pPr>
      <w:r w:rsidRPr="00E11944">
        <w:rPr>
          <w:bCs/>
          <w:szCs w:val="28"/>
        </w:rPr>
        <w:t>Рисунок 4</w:t>
      </w:r>
    </w:p>
    <w:p w:rsidR="00785096" w:rsidRPr="00E11944" w:rsidRDefault="00785096" w:rsidP="00785096">
      <w:pPr>
        <w:rPr>
          <w:bCs/>
          <w:szCs w:val="28"/>
        </w:rPr>
      </w:pPr>
    </w:p>
    <w:p w:rsidR="00785096" w:rsidRPr="00E11944" w:rsidRDefault="00785096" w:rsidP="00785096">
      <w:pPr>
        <w:rPr>
          <w:bCs/>
          <w:szCs w:val="28"/>
        </w:rPr>
      </w:pPr>
    </w:p>
    <w:p w:rsidR="00785096" w:rsidRPr="00E11944" w:rsidRDefault="00785096" w:rsidP="00785096">
      <w:pPr>
        <w:rPr>
          <w:bCs/>
          <w:szCs w:val="28"/>
        </w:rPr>
      </w:pPr>
    </w:p>
    <w:p w:rsidR="008B18C2" w:rsidRPr="00E11944" w:rsidRDefault="008B18C2" w:rsidP="00326080">
      <w:pPr>
        <w:rPr>
          <w:b/>
          <w:szCs w:val="28"/>
        </w:rPr>
      </w:pPr>
      <w:r w:rsidRPr="00E11944">
        <w:rPr>
          <w:b/>
          <w:szCs w:val="28"/>
        </w:rPr>
        <w:t>4. Финансирование</w:t>
      </w:r>
    </w:p>
    <w:p w:rsidR="00326080" w:rsidRPr="00E11944" w:rsidRDefault="00326080" w:rsidP="00326080">
      <w:pPr>
        <w:rPr>
          <w:szCs w:val="28"/>
        </w:rPr>
      </w:pPr>
      <w:r w:rsidRPr="00E11944">
        <w:rPr>
          <w:szCs w:val="28"/>
        </w:rPr>
        <w:t>По состоянию на конец 201</w:t>
      </w:r>
      <w:r w:rsidR="00BC3B46" w:rsidRPr="00E11944">
        <w:rPr>
          <w:szCs w:val="28"/>
        </w:rPr>
        <w:t>9</w:t>
      </w:r>
      <w:r w:rsidRPr="00E11944">
        <w:rPr>
          <w:szCs w:val="28"/>
        </w:rPr>
        <w:t xml:space="preserve"> года общий объем финансирования, запланированный на реализацию </w:t>
      </w:r>
      <w:r w:rsidR="001B511A" w:rsidRPr="00E11944">
        <w:rPr>
          <w:szCs w:val="28"/>
        </w:rPr>
        <w:t>16</w:t>
      </w:r>
      <w:r w:rsidRPr="00E11944">
        <w:rPr>
          <w:szCs w:val="28"/>
        </w:rPr>
        <w:t xml:space="preserve"> государственных программ, составил </w:t>
      </w:r>
      <w:r w:rsidR="00390CDF" w:rsidRPr="00E11944">
        <w:rPr>
          <w:szCs w:val="28"/>
        </w:rPr>
        <w:t xml:space="preserve">98,5 </w:t>
      </w:r>
      <w:r w:rsidR="00BC3B46" w:rsidRPr="00E11944">
        <w:rPr>
          <w:szCs w:val="28"/>
        </w:rPr>
        <w:t>млрд.</w:t>
      </w:r>
      <w:r w:rsidRPr="00E11944">
        <w:rPr>
          <w:szCs w:val="28"/>
        </w:rPr>
        <w:t xml:space="preserve"> рублей, в том числе за счет средств областного бюджета </w:t>
      </w:r>
      <w:r w:rsidR="00390CDF" w:rsidRPr="00E11944">
        <w:rPr>
          <w:szCs w:val="28"/>
        </w:rPr>
        <w:t>71</w:t>
      </w:r>
      <w:r w:rsidRPr="00E11944">
        <w:rPr>
          <w:szCs w:val="28"/>
        </w:rPr>
        <w:t> млрд. рублей.</w:t>
      </w:r>
    </w:p>
    <w:p w:rsidR="00C86C20" w:rsidRPr="00E11944" w:rsidRDefault="00FF534B" w:rsidP="00C86C20">
      <w:pPr>
        <w:rPr>
          <w:szCs w:val="28"/>
        </w:rPr>
      </w:pPr>
      <w:r w:rsidRPr="00E11944">
        <w:rPr>
          <w:szCs w:val="28"/>
        </w:rPr>
        <w:t xml:space="preserve">Плановые объемы софинансирования мероприятий государственных программ за счет средств федерального бюджета </w:t>
      </w:r>
      <w:r w:rsidR="001B511A" w:rsidRPr="00E11944">
        <w:rPr>
          <w:szCs w:val="28"/>
        </w:rPr>
        <w:t>возросли</w:t>
      </w:r>
      <w:r w:rsidRPr="00E11944">
        <w:rPr>
          <w:szCs w:val="28"/>
        </w:rPr>
        <w:t xml:space="preserve"> </w:t>
      </w:r>
      <w:r w:rsidR="00F7541E" w:rsidRPr="00E11944">
        <w:rPr>
          <w:szCs w:val="28"/>
        </w:rPr>
        <w:t xml:space="preserve">с </w:t>
      </w:r>
      <w:r w:rsidR="00D943A6" w:rsidRPr="00E11944">
        <w:rPr>
          <w:szCs w:val="28"/>
        </w:rPr>
        <w:t>6,4 млрд. рублей в 2018</w:t>
      </w:r>
      <w:r w:rsidR="00F7541E" w:rsidRPr="00E11944">
        <w:rPr>
          <w:szCs w:val="28"/>
        </w:rPr>
        <w:t xml:space="preserve"> году </w:t>
      </w:r>
      <w:r w:rsidRPr="00E11944">
        <w:rPr>
          <w:szCs w:val="28"/>
        </w:rPr>
        <w:t xml:space="preserve">до </w:t>
      </w:r>
      <w:r w:rsidR="00D943A6" w:rsidRPr="00E11944">
        <w:rPr>
          <w:szCs w:val="28"/>
        </w:rPr>
        <w:t>9,2</w:t>
      </w:r>
      <w:r w:rsidR="00052625" w:rsidRPr="00E11944">
        <w:rPr>
          <w:szCs w:val="28"/>
        </w:rPr>
        <w:t xml:space="preserve"> млрд. </w:t>
      </w:r>
      <w:r w:rsidR="006E6B1D" w:rsidRPr="00E11944">
        <w:rPr>
          <w:szCs w:val="28"/>
        </w:rPr>
        <w:t xml:space="preserve">рублей </w:t>
      </w:r>
      <w:r w:rsidR="00D943A6" w:rsidRPr="00E11944">
        <w:rPr>
          <w:szCs w:val="28"/>
        </w:rPr>
        <w:t>в 2019</w:t>
      </w:r>
      <w:r w:rsidR="00F7541E" w:rsidRPr="00E11944">
        <w:rPr>
          <w:szCs w:val="28"/>
        </w:rPr>
        <w:t xml:space="preserve"> году </w:t>
      </w:r>
      <w:r w:rsidRPr="00E11944">
        <w:rPr>
          <w:szCs w:val="28"/>
        </w:rPr>
        <w:t xml:space="preserve">(на </w:t>
      </w:r>
      <w:r w:rsidR="00F7541E" w:rsidRPr="00E11944">
        <w:rPr>
          <w:szCs w:val="28"/>
        </w:rPr>
        <w:t>4</w:t>
      </w:r>
      <w:r w:rsidR="00D943A6" w:rsidRPr="00E11944">
        <w:rPr>
          <w:szCs w:val="28"/>
        </w:rPr>
        <w:t>3,8</w:t>
      </w:r>
      <w:r w:rsidRPr="00E11944">
        <w:rPr>
          <w:szCs w:val="28"/>
        </w:rPr>
        <w:t xml:space="preserve">%), </w:t>
      </w:r>
      <w:r w:rsidR="00D943A6" w:rsidRPr="00E11944">
        <w:rPr>
          <w:szCs w:val="28"/>
        </w:rPr>
        <w:t>что во многом обусловлено началом реализации региональных проектов, исполняемых в рамках национальных проектов (ключевой прирост обеспечило увеличение федерального финансирования, выделяемого в сферах развития здравоохранения и дорожной сети), а также</w:t>
      </w:r>
      <w:r w:rsidR="00C86C20" w:rsidRPr="00E11944">
        <w:rPr>
          <w:szCs w:val="28"/>
        </w:rPr>
        <w:t xml:space="preserve"> </w:t>
      </w:r>
      <w:r w:rsidR="00D943A6" w:rsidRPr="00E11944">
        <w:rPr>
          <w:szCs w:val="28"/>
        </w:rPr>
        <w:t xml:space="preserve">ростом финансирования </w:t>
      </w:r>
      <w:r w:rsidR="00C86C20" w:rsidRPr="00E11944">
        <w:rPr>
          <w:szCs w:val="28"/>
        </w:rPr>
        <w:t>на предоставление</w:t>
      </w:r>
      <w:r w:rsidR="00C86C20" w:rsidRPr="00E11944">
        <w:t xml:space="preserve"> социальных выплат </w:t>
      </w:r>
      <w:r w:rsidR="00C86C20" w:rsidRPr="00E11944">
        <w:rPr>
          <w:szCs w:val="28"/>
        </w:rPr>
        <w:t>отдельным категориям граждан.</w:t>
      </w:r>
    </w:p>
    <w:p w:rsidR="00326080" w:rsidRPr="00E11944" w:rsidRDefault="00326080" w:rsidP="00C86C20">
      <w:pPr>
        <w:rPr>
          <w:szCs w:val="28"/>
        </w:rPr>
      </w:pPr>
      <w:r w:rsidRPr="00E11944">
        <w:rPr>
          <w:szCs w:val="28"/>
        </w:rPr>
        <w:t>Фактическое исполнение на 31 декабря 201</w:t>
      </w:r>
      <w:r w:rsidR="00D943A6" w:rsidRPr="00E11944">
        <w:rPr>
          <w:szCs w:val="28"/>
        </w:rPr>
        <w:t>9</w:t>
      </w:r>
      <w:r w:rsidRPr="00E11944">
        <w:rPr>
          <w:szCs w:val="28"/>
        </w:rPr>
        <w:t xml:space="preserve"> года составило </w:t>
      </w:r>
      <w:r w:rsidR="00D943A6" w:rsidRPr="00E11944">
        <w:rPr>
          <w:szCs w:val="28"/>
        </w:rPr>
        <w:t>95</w:t>
      </w:r>
      <w:r w:rsidRPr="00E11944">
        <w:rPr>
          <w:szCs w:val="28"/>
        </w:rPr>
        <w:t xml:space="preserve"> млрд. рублей – </w:t>
      </w:r>
      <w:r w:rsidR="00FB0D08" w:rsidRPr="00E11944">
        <w:rPr>
          <w:szCs w:val="28"/>
        </w:rPr>
        <w:t>96</w:t>
      </w:r>
      <w:r w:rsidRPr="00E11944">
        <w:rPr>
          <w:szCs w:val="28"/>
        </w:rPr>
        <w:t>,</w:t>
      </w:r>
      <w:r w:rsidR="00390CDF" w:rsidRPr="00E11944">
        <w:rPr>
          <w:szCs w:val="28"/>
        </w:rPr>
        <w:t>5</w:t>
      </w:r>
      <w:r w:rsidRPr="00E11944">
        <w:rPr>
          <w:szCs w:val="28"/>
        </w:rPr>
        <w:t xml:space="preserve">% от запланированных на год объемов (таблица 1). </w:t>
      </w:r>
    </w:p>
    <w:p w:rsidR="009D422E" w:rsidRPr="00E11944" w:rsidRDefault="009D422E" w:rsidP="00326080">
      <w:pPr>
        <w:rPr>
          <w:szCs w:val="28"/>
        </w:rPr>
      </w:pPr>
      <w:r w:rsidRPr="00E11944">
        <w:rPr>
          <w:szCs w:val="28"/>
        </w:rPr>
        <w:lastRenderedPageBreak/>
        <w:t>По сравнению с результатами 201</w:t>
      </w:r>
      <w:r w:rsidR="00D943A6" w:rsidRPr="00E11944">
        <w:rPr>
          <w:szCs w:val="28"/>
        </w:rPr>
        <w:t>8</w:t>
      </w:r>
      <w:r w:rsidRPr="00E11944">
        <w:rPr>
          <w:szCs w:val="28"/>
        </w:rPr>
        <w:t xml:space="preserve"> года степень о</w:t>
      </w:r>
      <w:r w:rsidR="00326080" w:rsidRPr="00E11944">
        <w:rPr>
          <w:szCs w:val="28"/>
        </w:rPr>
        <w:t>своени</w:t>
      </w:r>
      <w:r w:rsidRPr="00E11944">
        <w:rPr>
          <w:szCs w:val="28"/>
        </w:rPr>
        <w:t>я</w:t>
      </w:r>
      <w:r w:rsidR="00326080" w:rsidRPr="00E11944">
        <w:rPr>
          <w:szCs w:val="28"/>
        </w:rPr>
        <w:t xml:space="preserve"> </w:t>
      </w:r>
      <w:r w:rsidRPr="00E11944">
        <w:rPr>
          <w:szCs w:val="28"/>
        </w:rPr>
        <w:t>предусмотрен</w:t>
      </w:r>
      <w:r w:rsidR="00721BAC" w:rsidRPr="00E11944">
        <w:rPr>
          <w:szCs w:val="28"/>
        </w:rPr>
        <w:t xml:space="preserve">ных объемов финансовых средств </w:t>
      </w:r>
      <w:r w:rsidR="00390CDF" w:rsidRPr="00E11944">
        <w:rPr>
          <w:szCs w:val="28"/>
        </w:rPr>
        <w:t>сократилась</w:t>
      </w:r>
      <w:r w:rsidR="00721BAC" w:rsidRPr="00E11944">
        <w:rPr>
          <w:szCs w:val="28"/>
        </w:rPr>
        <w:t xml:space="preserve"> </w:t>
      </w:r>
      <w:r w:rsidRPr="00E11944">
        <w:rPr>
          <w:szCs w:val="28"/>
        </w:rPr>
        <w:t xml:space="preserve">на </w:t>
      </w:r>
      <w:r w:rsidR="00721BAC" w:rsidRPr="00E11944">
        <w:rPr>
          <w:szCs w:val="28"/>
        </w:rPr>
        <w:t>0,</w:t>
      </w:r>
      <w:r w:rsidR="00CF1CD7" w:rsidRPr="00E11944">
        <w:rPr>
          <w:szCs w:val="28"/>
        </w:rPr>
        <w:t>3</w:t>
      </w:r>
      <w:r w:rsidRPr="00E11944">
        <w:rPr>
          <w:szCs w:val="28"/>
        </w:rPr>
        <w:t xml:space="preserve"> п.п., в том числе за </w:t>
      </w:r>
      <w:r w:rsidR="00561404" w:rsidRPr="00E11944">
        <w:rPr>
          <w:szCs w:val="28"/>
        </w:rPr>
        <w:t xml:space="preserve">счет </w:t>
      </w:r>
      <w:r w:rsidR="00390CDF" w:rsidRPr="00E11944">
        <w:rPr>
          <w:szCs w:val="28"/>
        </w:rPr>
        <w:t>снижения</w:t>
      </w:r>
      <w:r w:rsidR="00FF4159" w:rsidRPr="00E11944">
        <w:rPr>
          <w:szCs w:val="28"/>
        </w:rPr>
        <w:t xml:space="preserve"> уровня освоения </w:t>
      </w:r>
      <w:r w:rsidRPr="00E11944">
        <w:rPr>
          <w:szCs w:val="28"/>
        </w:rPr>
        <w:t>средств</w:t>
      </w:r>
      <w:r w:rsidR="00326080" w:rsidRPr="00E11944">
        <w:rPr>
          <w:szCs w:val="28"/>
        </w:rPr>
        <w:t xml:space="preserve"> </w:t>
      </w:r>
      <w:r w:rsidR="00390CDF" w:rsidRPr="00E11944">
        <w:rPr>
          <w:szCs w:val="28"/>
        </w:rPr>
        <w:t xml:space="preserve">МБ - на </w:t>
      </w:r>
      <w:r w:rsidR="00CF1CD7" w:rsidRPr="00E11944">
        <w:rPr>
          <w:szCs w:val="28"/>
        </w:rPr>
        <w:t>21,6</w:t>
      </w:r>
      <w:r w:rsidR="00390CDF" w:rsidRPr="00E11944">
        <w:rPr>
          <w:szCs w:val="28"/>
        </w:rPr>
        <w:t xml:space="preserve"> п.п., ОБ - на 0,6 п.п., ВБС -</w:t>
      </w:r>
      <w:r w:rsidR="00181945" w:rsidRPr="00E11944">
        <w:rPr>
          <w:szCs w:val="28"/>
        </w:rPr>
        <w:t xml:space="preserve"> </w:t>
      </w:r>
      <w:r w:rsidR="00390CDF" w:rsidRPr="00E11944">
        <w:rPr>
          <w:szCs w:val="28"/>
        </w:rPr>
        <w:t>на 0,</w:t>
      </w:r>
      <w:r w:rsidR="00CF1CD7" w:rsidRPr="00E11944">
        <w:rPr>
          <w:szCs w:val="28"/>
        </w:rPr>
        <w:t>5</w:t>
      </w:r>
      <w:r w:rsidR="00390CDF" w:rsidRPr="00E11944">
        <w:rPr>
          <w:szCs w:val="28"/>
        </w:rPr>
        <w:t xml:space="preserve"> п.п. Уровень освоения средств ФБ увеличился на</w:t>
      </w:r>
      <w:r w:rsidRPr="00E11944">
        <w:rPr>
          <w:szCs w:val="28"/>
        </w:rPr>
        <w:t xml:space="preserve"> </w:t>
      </w:r>
      <w:r w:rsidR="00BB68C9" w:rsidRPr="00E11944">
        <w:rPr>
          <w:szCs w:val="28"/>
        </w:rPr>
        <w:t>5</w:t>
      </w:r>
      <w:r w:rsidR="00326080" w:rsidRPr="00E11944">
        <w:rPr>
          <w:szCs w:val="28"/>
        </w:rPr>
        <w:t>,</w:t>
      </w:r>
      <w:r w:rsidR="00BB68C9" w:rsidRPr="00E11944">
        <w:rPr>
          <w:szCs w:val="28"/>
        </w:rPr>
        <w:t>4</w:t>
      </w:r>
      <w:r w:rsidR="00FF4159" w:rsidRPr="00E11944">
        <w:rPr>
          <w:szCs w:val="28"/>
        </w:rPr>
        <w:t xml:space="preserve"> п.п.</w:t>
      </w:r>
    </w:p>
    <w:p w:rsidR="00CD08ED" w:rsidRPr="00E11944" w:rsidRDefault="004B5CCD" w:rsidP="00CD08ED">
      <w:pPr>
        <w:rPr>
          <w:i/>
          <w:szCs w:val="28"/>
        </w:rPr>
      </w:pPr>
      <w:r w:rsidRPr="00E11944">
        <w:rPr>
          <w:szCs w:val="28"/>
        </w:rPr>
        <w:t xml:space="preserve">В отношении низкого уровня освоения средств МБ: общий объем неосвоенных средств составил </w:t>
      </w:r>
      <w:r w:rsidR="00CF1CD7" w:rsidRPr="00E11944">
        <w:rPr>
          <w:szCs w:val="28"/>
        </w:rPr>
        <w:t>230,7</w:t>
      </w:r>
      <w:r w:rsidRPr="00E11944">
        <w:rPr>
          <w:szCs w:val="28"/>
        </w:rPr>
        <w:t xml:space="preserve"> млн. руб. в основном за счет неосвоения средств по ГП «Обеспечение комфортной среды проживания населения региона» </w:t>
      </w:r>
      <w:r w:rsidR="00CD08ED" w:rsidRPr="00E11944">
        <w:rPr>
          <w:szCs w:val="28"/>
        </w:rPr>
        <w:t xml:space="preserve">в основном </w:t>
      </w:r>
      <w:r w:rsidRPr="00E11944">
        <w:rPr>
          <w:szCs w:val="28"/>
        </w:rPr>
        <w:t xml:space="preserve">(287,2 млн. руб. </w:t>
      </w:r>
      <w:r w:rsidRPr="00E11944">
        <w:rPr>
          <w:i/>
          <w:szCs w:val="28"/>
        </w:rPr>
        <w:t>(меньше общего объема неосвоенных средств</w:t>
      </w:r>
      <w:r w:rsidR="00CD08ED" w:rsidRPr="00E11944">
        <w:rPr>
          <w:i/>
          <w:szCs w:val="28"/>
        </w:rPr>
        <w:t xml:space="preserve"> МБ, т.к. по некоторы</w:t>
      </w:r>
      <w:r w:rsidRPr="00E11944">
        <w:rPr>
          <w:i/>
          <w:szCs w:val="28"/>
        </w:rPr>
        <w:t>м государственным программам сложилось перевыполнение по МБ)</w:t>
      </w:r>
      <w:r w:rsidRPr="00E11944">
        <w:rPr>
          <w:szCs w:val="28"/>
        </w:rPr>
        <w:t>)</w:t>
      </w:r>
      <w:r w:rsidR="00CD08ED" w:rsidRPr="00E11944">
        <w:rPr>
          <w:szCs w:val="28"/>
        </w:rPr>
        <w:t xml:space="preserve"> в основном в части мероприятия по обеспечению комплексного благоустройства территорий муниципальных образований </w:t>
      </w:r>
      <w:r w:rsidR="00CD08ED" w:rsidRPr="00E11944">
        <w:rPr>
          <w:i/>
          <w:szCs w:val="28"/>
        </w:rPr>
        <w:t xml:space="preserve">(несоблюдение подрядчиками условий договоров, отсутствие проектной документации на ряд объектов из-за несостоявшихся аукционов и др.). </w:t>
      </w:r>
    </w:p>
    <w:p w:rsidR="00390CDF" w:rsidRPr="00E11944" w:rsidRDefault="00390CDF" w:rsidP="00326080">
      <w:pPr>
        <w:rPr>
          <w:szCs w:val="28"/>
        </w:rPr>
      </w:pPr>
    </w:p>
    <w:p w:rsidR="00326080" w:rsidRPr="00E11944" w:rsidRDefault="00326080" w:rsidP="00326080">
      <w:pPr>
        <w:jc w:val="right"/>
        <w:rPr>
          <w:sz w:val="24"/>
          <w:szCs w:val="24"/>
        </w:rPr>
      </w:pPr>
      <w:r w:rsidRPr="00E11944">
        <w:rPr>
          <w:sz w:val="24"/>
          <w:szCs w:val="24"/>
        </w:rPr>
        <w:t>Таблица 1</w:t>
      </w:r>
    </w:p>
    <w:tbl>
      <w:tblPr>
        <w:tblW w:w="9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04"/>
        <w:gridCol w:w="2275"/>
        <w:gridCol w:w="1824"/>
        <w:gridCol w:w="2122"/>
      </w:tblGrid>
      <w:tr w:rsidR="00326080" w:rsidRPr="00E11944" w:rsidTr="00CF1CD7">
        <w:trPr>
          <w:trHeight w:val="20"/>
          <w:jc w:val="center"/>
        </w:trPr>
        <w:tc>
          <w:tcPr>
            <w:tcW w:w="31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26080" w:rsidRPr="00E11944" w:rsidRDefault="00326080" w:rsidP="003443E8">
            <w:pPr>
              <w:ind w:firstLine="0"/>
              <w:jc w:val="center"/>
              <w:rPr>
                <w:color w:val="000000"/>
                <w:sz w:val="24"/>
              </w:rPr>
            </w:pPr>
            <w:r w:rsidRPr="00E11944">
              <w:rPr>
                <w:color w:val="000000"/>
                <w:sz w:val="24"/>
                <w:szCs w:val="24"/>
              </w:rPr>
              <w:t>Всего по государственным программам</w:t>
            </w:r>
          </w:p>
        </w:tc>
        <w:tc>
          <w:tcPr>
            <w:tcW w:w="2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26080" w:rsidRPr="00E11944" w:rsidRDefault="00326080" w:rsidP="003443E8">
            <w:pPr>
              <w:ind w:firstLine="0"/>
              <w:jc w:val="center"/>
              <w:rPr>
                <w:color w:val="000000"/>
                <w:sz w:val="24"/>
              </w:rPr>
            </w:pPr>
            <w:r w:rsidRPr="00E11944">
              <w:rPr>
                <w:color w:val="000000"/>
                <w:sz w:val="24"/>
              </w:rPr>
              <w:t>Запланировано на год,</w:t>
            </w:r>
            <w:r w:rsidRPr="00E11944">
              <w:rPr>
                <w:sz w:val="24"/>
                <w:szCs w:val="24"/>
              </w:rPr>
              <w:t xml:space="preserve"> млн. рублей</w:t>
            </w:r>
          </w:p>
        </w:tc>
        <w:tc>
          <w:tcPr>
            <w:tcW w:w="18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26080" w:rsidRPr="00E11944" w:rsidRDefault="00326080" w:rsidP="003443E8">
            <w:pPr>
              <w:ind w:firstLine="0"/>
              <w:jc w:val="center"/>
              <w:rPr>
                <w:color w:val="000000"/>
                <w:sz w:val="24"/>
              </w:rPr>
            </w:pPr>
            <w:r w:rsidRPr="00E11944">
              <w:rPr>
                <w:color w:val="000000"/>
                <w:sz w:val="24"/>
              </w:rPr>
              <w:t>Исполнение,</w:t>
            </w:r>
            <w:r w:rsidRPr="00E11944">
              <w:rPr>
                <w:sz w:val="24"/>
                <w:szCs w:val="24"/>
              </w:rPr>
              <w:t xml:space="preserve"> млн. рублей</w:t>
            </w:r>
          </w:p>
        </w:tc>
        <w:tc>
          <w:tcPr>
            <w:tcW w:w="212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26080" w:rsidRPr="00E11944" w:rsidRDefault="00326080" w:rsidP="003443E8">
            <w:pPr>
              <w:ind w:firstLine="0"/>
              <w:jc w:val="center"/>
              <w:rPr>
                <w:color w:val="000000"/>
                <w:sz w:val="24"/>
              </w:rPr>
            </w:pPr>
            <w:r w:rsidRPr="00E11944">
              <w:rPr>
                <w:color w:val="000000"/>
                <w:sz w:val="24"/>
              </w:rPr>
              <w:t>Степень освоения средств</w:t>
            </w:r>
          </w:p>
        </w:tc>
      </w:tr>
      <w:tr w:rsidR="00D943A6" w:rsidRPr="00E11944" w:rsidTr="00CF1CD7">
        <w:trPr>
          <w:trHeight w:val="20"/>
          <w:jc w:val="center"/>
        </w:trPr>
        <w:tc>
          <w:tcPr>
            <w:tcW w:w="31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43A6" w:rsidRPr="00E11944" w:rsidRDefault="00D943A6" w:rsidP="00E95653">
            <w:pPr>
              <w:ind w:firstLine="0"/>
              <w:jc w:val="left"/>
              <w:rPr>
                <w:color w:val="000000"/>
                <w:sz w:val="24"/>
                <w:szCs w:val="24"/>
              </w:rPr>
            </w:pPr>
            <w:r w:rsidRPr="00E11944">
              <w:rPr>
                <w:color w:val="000000"/>
                <w:sz w:val="24"/>
                <w:szCs w:val="24"/>
              </w:rPr>
              <w:t>Всего</w:t>
            </w:r>
            <w:r w:rsidRPr="00E11944">
              <w:rPr>
                <w:b/>
                <w:color w:val="000000"/>
                <w:sz w:val="24"/>
                <w:szCs w:val="24"/>
              </w:rPr>
              <w:t xml:space="preserve"> за 2019 год</w:t>
            </w:r>
            <w:r w:rsidRPr="00E11944">
              <w:rPr>
                <w:color w:val="000000"/>
                <w:sz w:val="24"/>
                <w:szCs w:val="24"/>
              </w:rPr>
              <w:t>, в т.ч</w:t>
            </w:r>
            <w:r w:rsidR="00212D1E" w:rsidRPr="00E11944">
              <w:rPr>
                <w:color w:val="000000"/>
                <w:sz w:val="24"/>
                <w:szCs w:val="24"/>
              </w:rPr>
              <w:t>.</w:t>
            </w:r>
            <w:r w:rsidRPr="00E11944">
              <w:rPr>
                <w:color w:val="000000"/>
                <w:sz w:val="24"/>
                <w:szCs w:val="24"/>
              </w:rPr>
              <w:t>:</w:t>
            </w:r>
          </w:p>
        </w:tc>
        <w:tc>
          <w:tcPr>
            <w:tcW w:w="2275" w:type="dxa"/>
            <w:tcBorders>
              <w:top w:val="single" w:sz="4" w:space="0" w:color="auto"/>
              <w:left w:val="single" w:sz="4" w:space="0" w:color="auto"/>
              <w:bottom w:val="single" w:sz="4" w:space="0" w:color="auto"/>
              <w:right w:val="single" w:sz="4" w:space="0" w:color="auto"/>
            </w:tcBorders>
            <w:shd w:val="clear" w:color="auto" w:fill="auto"/>
            <w:noWrap/>
          </w:tcPr>
          <w:p w:rsidR="00D943A6" w:rsidRPr="00E11944" w:rsidRDefault="00212D1E" w:rsidP="00390CDF">
            <w:pPr>
              <w:ind w:firstLine="0"/>
              <w:jc w:val="right"/>
              <w:rPr>
                <w:b/>
                <w:sz w:val="24"/>
                <w:szCs w:val="24"/>
              </w:rPr>
            </w:pPr>
            <w:r w:rsidRPr="00E11944">
              <w:rPr>
                <w:b/>
                <w:sz w:val="24"/>
                <w:szCs w:val="24"/>
              </w:rPr>
              <w:t>98 </w:t>
            </w:r>
            <w:r w:rsidR="00390CDF" w:rsidRPr="00E11944">
              <w:rPr>
                <w:b/>
                <w:sz w:val="24"/>
                <w:szCs w:val="24"/>
              </w:rPr>
              <w:t>506</w:t>
            </w:r>
            <w:r w:rsidRPr="00E11944">
              <w:rPr>
                <w:b/>
                <w:sz w:val="24"/>
                <w:szCs w:val="24"/>
              </w:rPr>
              <w:t>,4</w:t>
            </w:r>
          </w:p>
        </w:tc>
        <w:tc>
          <w:tcPr>
            <w:tcW w:w="1824" w:type="dxa"/>
            <w:tcBorders>
              <w:top w:val="single" w:sz="4" w:space="0" w:color="auto"/>
              <w:left w:val="single" w:sz="4" w:space="0" w:color="auto"/>
              <w:bottom w:val="single" w:sz="4" w:space="0" w:color="auto"/>
              <w:right w:val="single" w:sz="4" w:space="0" w:color="auto"/>
            </w:tcBorders>
            <w:shd w:val="clear" w:color="auto" w:fill="auto"/>
            <w:noWrap/>
          </w:tcPr>
          <w:p w:rsidR="00D943A6" w:rsidRPr="00E11944" w:rsidRDefault="00436A5C" w:rsidP="00436A5C">
            <w:pPr>
              <w:jc w:val="right"/>
              <w:rPr>
                <w:b/>
                <w:color w:val="000000"/>
                <w:sz w:val="24"/>
                <w:szCs w:val="24"/>
              </w:rPr>
            </w:pPr>
            <w:r w:rsidRPr="00E11944">
              <w:rPr>
                <w:b/>
                <w:color w:val="000000"/>
                <w:sz w:val="24"/>
                <w:szCs w:val="24"/>
              </w:rPr>
              <w:t>94 997,3</w:t>
            </w:r>
          </w:p>
        </w:tc>
        <w:tc>
          <w:tcPr>
            <w:tcW w:w="2122" w:type="dxa"/>
            <w:tcBorders>
              <w:top w:val="single" w:sz="4" w:space="0" w:color="auto"/>
              <w:left w:val="single" w:sz="4" w:space="0" w:color="auto"/>
              <w:bottom w:val="single" w:sz="4" w:space="0" w:color="auto"/>
              <w:right w:val="single" w:sz="4" w:space="0" w:color="auto"/>
            </w:tcBorders>
            <w:shd w:val="clear" w:color="auto" w:fill="auto"/>
            <w:noWrap/>
          </w:tcPr>
          <w:p w:rsidR="00D943A6" w:rsidRPr="00E11944" w:rsidRDefault="00390CDF" w:rsidP="00CF1CD7">
            <w:pPr>
              <w:ind w:firstLine="0"/>
              <w:jc w:val="center"/>
              <w:rPr>
                <w:b/>
                <w:sz w:val="24"/>
                <w:szCs w:val="24"/>
              </w:rPr>
            </w:pPr>
            <w:r w:rsidRPr="00E11944">
              <w:rPr>
                <w:b/>
                <w:sz w:val="24"/>
                <w:szCs w:val="24"/>
              </w:rPr>
              <w:t>96,</w:t>
            </w:r>
            <w:r w:rsidR="00CF1CD7" w:rsidRPr="00E11944">
              <w:rPr>
                <w:b/>
                <w:sz w:val="24"/>
                <w:szCs w:val="24"/>
              </w:rPr>
              <w:t>4</w:t>
            </w:r>
            <w:r w:rsidR="00D943A6" w:rsidRPr="00E11944">
              <w:rPr>
                <w:b/>
                <w:sz w:val="24"/>
                <w:szCs w:val="24"/>
              </w:rPr>
              <w:t>%</w:t>
            </w:r>
          </w:p>
        </w:tc>
      </w:tr>
      <w:tr w:rsidR="00D943A6" w:rsidRPr="00E11944" w:rsidTr="00CF1CD7">
        <w:trPr>
          <w:trHeight w:val="195"/>
          <w:jc w:val="center"/>
        </w:trPr>
        <w:tc>
          <w:tcPr>
            <w:tcW w:w="3104" w:type="dxa"/>
            <w:tcBorders>
              <w:top w:val="single" w:sz="4" w:space="0" w:color="auto"/>
              <w:left w:val="single" w:sz="4" w:space="0" w:color="auto"/>
              <w:bottom w:val="single" w:sz="4" w:space="0" w:color="auto"/>
              <w:right w:val="single" w:sz="4" w:space="0" w:color="auto"/>
            </w:tcBorders>
            <w:shd w:val="clear" w:color="auto" w:fill="auto"/>
            <w:noWrap/>
          </w:tcPr>
          <w:p w:rsidR="00D943A6" w:rsidRPr="00E11944" w:rsidRDefault="00D943A6" w:rsidP="008C7488">
            <w:pPr>
              <w:ind w:firstLine="0"/>
              <w:jc w:val="right"/>
              <w:rPr>
                <w:color w:val="000000"/>
                <w:sz w:val="24"/>
                <w:szCs w:val="24"/>
              </w:rPr>
            </w:pPr>
            <w:r w:rsidRPr="00E11944">
              <w:rPr>
                <w:color w:val="000000"/>
                <w:sz w:val="24"/>
                <w:szCs w:val="24"/>
              </w:rPr>
              <w:t>ОБ</w:t>
            </w:r>
          </w:p>
        </w:tc>
        <w:tc>
          <w:tcPr>
            <w:tcW w:w="2275" w:type="dxa"/>
            <w:tcBorders>
              <w:top w:val="single" w:sz="4" w:space="0" w:color="auto"/>
              <w:left w:val="single" w:sz="4" w:space="0" w:color="auto"/>
              <w:bottom w:val="single" w:sz="4" w:space="0" w:color="auto"/>
              <w:right w:val="single" w:sz="4" w:space="0" w:color="auto"/>
            </w:tcBorders>
            <w:shd w:val="clear" w:color="auto" w:fill="auto"/>
            <w:noWrap/>
          </w:tcPr>
          <w:p w:rsidR="00212D1E" w:rsidRPr="00E11944" w:rsidRDefault="00390CDF" w:rsidP="00390CDF">
            <w:pPr>
              <w:jc w:val="right"/>
              <w:rPr>
                <w:color w:val="000000"/>
                <w:sz w:val="24"/>
                <w:szCs w:val="24"/>
              </w:rPr>
            </w:pPr>
            <w:r w:rsidRPr="00E11944">
              <w:rPr>
                <w:color w:val="000000"/>
                <w:sz w:val="24"/>
                <w:szCs w:val="24"/>
              </w:rPr>
              <w:t>71 034,7</w:t>
            </w:r>
          </w:p>
          <w:p w:rsidR="00D943A6" w:rsidRPr="00E11944" w:rsidRDefault="00D943A6" w:rsidP="00390CDF">
            <w:pPr>
              <w:ind w:firstLine="0"/>
              <w:jc w:val="right"/>
              <w:rPr>
                <w:color w:val="000000"/>
                <w:sz w:val="24"/>
                <w:szCs w:val="24"/>
              </w:rPr>
            </w:pPr>
          </w:p>
        </w:tc>
        <w:tc>
          <w:tcPr>
            <w:tcW w:w="1824" w:type="dxa"/>
            <w:tcBorders>
              <w:top w:val="single" w:sz="4" w:space="0" w:color="auto"/>
              <w:left w:val="single" w:sz="4" w:space="0" w:color="auto"/>
              <w:bottom w:val="single" w:sz="4" w:space="0" w:color="auto"/>
              <w:right w:val="single" w:sz="4" w:space="0" w:color="auto"/>
            </w:tcBorders>
            <w:shd w:val="clear" w:color="auto" w:fill="auto"/>
            <w:noWrap/>
          </w:tcPr>
          <w:p w:rsidR="00212D1E" w:rsidRPr="00E11944" w:rsidRDefault="00212D1E" w:rsidP="00390CDF">
            <w:pPr>
              <w:jc w:val="right"/>
              <w:rPr>
                <w:color w:val="000000"/>
                <w:sz w:val="24"/>
                <w:szCs w:val="24"/>
              </w:rPr>
            </w:pPr>
            <w:r w:rsidRPr="00E11944">
              <w:rPr>
                <w:color w:val="000000"/>
                <w:sz w:val="24"/>
                <w:szCs w:val="24"/>
              </w:rPr>
              <w:t>68 823,7</w:t>
            </w:r>
          </w:p>
          <w:p w:rsidR="00D943A6" w:rsidRPr="00E11944" w:rsidRDefault="00D943A6" w:rsidP="00390CDF">
            <w:pPr>
              <w:ind w:firstLine="0"/>
              <w:jc w:val="right"/>
              <w:rPr>
                <w:color w:val="000000"/>
                <w:sz w:val="24"/>
                <w:szCs w:val="24"/>
              </w:rPr>
            </w:pPr>
          </w:p>
        </w:tc>
        <w:tc>
          <w:tcPr>
            <w:tcW w:w="2122" w:type="dxa"/>
            <w:tcBorders>
              <w:top w:val="single" w:sz="4" w:space="0" w:color="auto"/>
              <w:left w:val="single" w:sz="4" w:space="0" w:color="auto"/>
              <w:bottom w:val="single" w:sz="4" w:space="0" w:color="auto"/>
              <w:right w:val="single" w:sz="4" w:space="0" w:color="auto"/>
            </w:tcBorders>
            <w:shd w:val="clear" w:color="auto" w:fill="auto"/>
            <w:noWrap/>
          </w:tcPr>
          <w:p w:rsidR="00D943A6" w:rsidRPr="00E11944" w:rsidRDefault="00390CDF" w:rsidP="00390CDF">
            <w:pPr>
              <w:ind w:firstLine="0"/>
              <w:jc w:val="center"/>
              <w:rPr>
                <w:color w:val="000000"/>
                <w:sz w:val="24"/>
                <w:szCs w:val="24"/>
              </w:rPr>
            </w:pPr>
            <w:r w:rsidRPr="00E11944">
              <w:rPr>
                <w:color w:val="000000"/>
                <w:sz w:val="24"/>
                <w:szCs w:val="24"/>
              </w:rPr>
              <w:t>96,9</w:t>
            </w:r>
            <w:r w:rsidR="00D943A6" w:rsidRPr="00E11944">
              <w:rPr>
                <w:color w:val="000000"/>
                <w:sz w:val="24"/>
                <w:szCs w:val="24"/>
              </w:rPr>
              <w:t>%</w:t>
            </w:r>
          </w:p>
        </w:tc>
      </w:tr>
      <w:tr w:rsidR="00D943A6" w:rsidRPr="00E11944" w:rsidTr="00CF1CD7">
        <w:trPr>
          <w:trHeight w:val="131"/>
          <w:jc w:val="center"/>
        </w:trPr>
        <w:tc>
          <w:tcPr>
            <w:tcW w:w="3104" w:type="dxa"/>
            <w:tcBorders>
              <w:top w:val="single" w:sz="4" w:space="0" w:color="auto"/>
              <w:left w:val="single" w:sz="4" w:space="0" w:color="auto"/>
              <w:bottom w:val="single" w:sz="4" w:space="0" w:color="auto"/>
              <w:right w:val="single" w:sz="4" w:space="0" w:color="auto"/>
            </w:tcBorders>
            <w:shd w:val="clear" w:color="auto" w:fill="auto"/>
            <w:noWrap/>
          </w:tcPr>
          <w:p w:rsidR="00D943A6" w:rsidRPr="00E11944" w:rsidRDefault="00D943A6" w:rsidP="008C7488">
            <w:pPr>
              <w:ind w:firstLine="0"/>
              <w:jc w:val="right"/>
              <w:rPr>
                <w:color w:val="000000"/>
                <w:sz w:val="24"/>
                <w:szCs w:val="24"/>
              </w:rPr>
            </w:pPr>
            <w:r w:rsidRPr="00E11944">
              <w:rPr>
                <w:color w:val="000000"/>
                <w:sz w:val="24"/>
                <w:szCs w:val="24"/>
              </w:rPr>
              <w:t>ФБ</w:t>
            </w:r>
          </w:p>
        </w:tc>
        <w:tc>
          <w:tcPr>
            <w:tcW w:w="2275" w:type="dxa"/>
            <w:tcBorders>
              <w:top w:val="single" w:sz="4" w:space="0" w:color="auto"/>
              <w:left w:val="single" w:sz="4" w:space="0" w:color="auto"/>
              <w:bottom w:val="single" w:sz="4" w:space="0" w:color="auto"/>
              <w:right w:val="single" w:sz="4" w:space="0" w:color="auto"/>
            </w:tcBorders>
            <w:shd w:val="clear" w:color="auto" w:fill="auto"/>
            <w:noWrap/>
          </w:tcPr>
          <w:p w:rsidR="00D943A6" w:rsidRPr="00E11944" w:rsidRDefault="00212D1E" w:rsidP="008C7488">
            <w:pPr>
              <w:jc w:val="right"/>
              <w:rPr>
                <w:color w:val="000000"/>
                <w:sz w:val="24"/>
                <w:szCs w:val="24"/>
              </w:rPr>
            </w:pPr>
            <w:r w:rsidRPr="00E11944">
              <w:rPr>
                <w:color w:val="000000"/>
                <w:sz w:val="24"/>
                <w:szCs w:val="24"/>
              </w:rPr>
              <w:t>9 202,7</w:t>
            </w:r>
          </w:p>
        </w:tc>
        <w:tc>
          <w:tcPr>
            <w:tcW w:w="1824" w:type="dxa"/>
            <w:tcBorders>
              <w:top w:val="single" w:sz="4" w:space="0" w:color="auto"/>
              <w:left w:val="single" w:sz="4" w:space="0" w:color="auto"/>
              <w:bottom w:val="single" w:sz="4" w:space="0" w:color="auto"/>
              <w:right w:val="single" w:sz="4" w:space="0" w:color="auto"/>
            </w:tcBorders>
            <w:shd w:val="clear" w:color="auto" w:fill="auto"/>
            <w:noWrap/>
          </w:tcPr>
          <w:p w:rsidR="00D943A6" w:rsidRPr="00E11944" w:rsidRDefault="00212D1E" w:rsidP="008C7488">
            <w:pPr>
              <w:jc w:val="right"/>
              <w:rPr>
                <w:color w:val="000000"/>
                <w:sz w:val="24"/>
                <w:szCs w:val="24"/>
              </w:rPr>
            </w:pPr>
            <w:r w:rsidRPr="00E11944">
              <w:rPr>
                <w:color w:val="000000"/>
                <w:sz w:val="24"/>
                <w:szCs w:val="24"/>
              </w:rPr>
              <w:t>8 686,</w:t>
            </w:r>
            <w:r w:rsidR="00436A5C" w:rsidRPr="00E11944">
              <w:rPr>
                <w:color w:val="000000"/>
                <w:sz w:val="24"/>
                <w:szCs w:val="24"/>
              </w:rPr>
              <w:t>8</w:t>
            </w:r>
          </w:p>
        </w:tc>
        <w:tc>
          <w:tcPr>
            <w:tcW w:w="2122" w:type="dxa"/>
            <w:tcBorders>
              <w:top w:val="single" w:sz="4" w:space="0" w:color="auto"/>
              <w:left w:val="single" w:sz="4" w:space="0" w:color="auto"/>
              <w:bottom w:val="single" w:sz="4" w:space="0" w:color="auto"/>
              <w:right w:val="single" w:sz="4" w:space="0" w:color="auto"/>
            </w:tcBorders>
            <w:shd w:val="clear" w:color="auto" w:fill="auto"/>
            <w:noWrap/>
          </w:tcPr>
          <w:p w:rsidR="00D943A6" w:rsidRPr="00E11944" w:rsidRDefault="00212D1E" w:rsidP="00390CDF">
            <w:pPr>
              <w:ind w:firstLine="0"/>
              <w:jc w:val="center"/>
              <w:rPr>
                <w:color w:val="000000"/>
                <w:sz w:val="24"/>
                <w:szCs w:val="24"/>
              </w:rPr>
            </w:pPr>
            <w:r w:rsidRPr="00E11944">
              <w:rPr>
                <w:color w:val="000000"/>
                <w:sz w:val="24"/>
                <w:szCs w:val="24"/>
              </w:rPr>
              <w:t>94,4</w:t>
            </w:r>
            <w:r w:rsidR="00D943A6" w:rsidRPr="00E11944">
              <w:rPr>
                <w:color w:val="000000"/>
                <w:sz w:val="24"/>
                <w:szCs w:val="24"/>
              </w:rPr>
              <w:t>%</w:t>
            </w:r>
          </w:p>
        </w:tc>
      </w:tr>
      <w:tr w:rsidR="00212D1E" w:rsidRPr="00E11944" w:rsidTr="00CF1CD7">
        <w:trPr>
          <w:trHeight w:val="20"/>
          <w:jc w:val="center"/>
        </w:trPr>
        <w:tc>
          <w:tcPr>
            <w:tcW w:w="3104" w:type="dxa"/>
            <w:tcBorders>
              <w:top w:val="single" w:sz="4" w:space="0" w:color="auto"/>
              <w:left w:val="single" w:sz="4" w:space="0" w:color="auto"/>
              <w:bottom w:val="single" w:sz="4" w:space="0" w:color="auto"/>
              <w:right w:val="single" w:sz="4" w:space="0" w:color="auto"/>
            </w:tcBorders>
            <w:shd w:val="clear" w:color="auto" w:fill="auto"/>
            <w:noWrap/>
          </w:tcPr>
          <w:p w:rsidR="00212D1E" w:rsidRPr="00E11944" w:rsidRDefault="00212D1E" w:rsidP="008C7488">
            <w:pPr>
              <w:ind w:firstLine="0"/>
              <w:jc w:val="right"/>
              <w:rPr>
                <w:color w:val="000000"/>
                <w:sz w:val="24"/>
                <w:szCs w:val="24"/>
              </w:rPr>
            </w:pPr>
            <w:r w:rsidRPr="00E11944">
              <w:rPr>
                <w:color w:val="000000"/>
                <w:sz w:val="24"/>
                <w:szCs w:val="24"/>
              </w:rPr>
              <w:t>МБ</w:t>
            </w:r>
          </w:p>
        </w:tc>
        <w:tc>
          <w:tcPr>
            <w:tcW w:w="2275" w:type="dxa"/>
            <w:tcBorders>
              <w:top w:val="single" w:sz="4" w:space="0" w:color="auto"/>
              <w:left w:val="single" w:sz="4" w:space="0" w:color="auto"/>
              <w:bottom w:val="single" w:sz="4" w:space="0" w:color="auto"/>
              <w:right w:val="single" w:sz="4" w:space="0" w:color="auto"/>
            </w:tcBorders>
            <w:shd w:val="clear" w:color="auto" w:fill="auto"/>
            <w:noWrap/>
          </w:tcPr>
          <w:p w:rsidR="00212D1E" w:rsidRPr="00E11944" w:rsidRDefault="00212D1E" w:rsidP="008C7488">
            <w:pPr>
              <w:jc w:val="right"/>
              <w:rPr>
                <w:color w:val="000000"/>
                <w:sz w:val="24"/>
                <w:szCs w:val="24"/>
              </w:rPr>
            </w:pPr>
            <w:r w:rsidRPr="00E11944">
              <w:rPr>
                <w:color w:val="000000"/>
                <w:sz w:val="24"/>
                <w:szCs w:val="24"/>
              </w:rPr>
              <w:t>798,8</w:t>
            </w:r>
          </w:p>
        </w:tc>
        <w:tc>
          <w:tcPr>
            <w:tcW w:w="1824" w:type="dxa"/>
            <w:tcBorders>
              <w:top w:val="single" w:sz="4" w:space="0" w:color="auto"/>
              <w:left w:val="single" w:sz="4" w:space="0" w:color="auto"/>
              <w:bottom w:val="single" w:sz="4" w:space="0" w:color="auto"/>
              <w:right w:val="single" w:sz="4" w:space="0" w:color="auto"/>
            </w:tcBorders>
            <w:shd w:val="clear" w:color="auto" w:fill="auto"/>
            <w:noWrap/>
          </w:tcPr>
          <w:p w:rsidR="00212D1E" w:rsidRPr="00E11944" w:rsidRDefault="00CF1CD7" w:rsidP="008C7488">
            <w:pPr>
              <w:jc w:val="right"/>
              <w:rPr>
                <w:color w:val="000000"/>
                <w:sz w:val="24"/>
                <w:szCs w:val="24"/>
              </w:rPr>
            </w:pPr>
            <w:r w:rsidRPr="00E11944">
              <w:rPr>
                <w:color w:val="000000"/>
                <w:sz w:val="24"/>
                <w:szCs w:val="24"/>
              </w:rPr>
              <w:t>568,1</w:t>
            </w:r>
          </w:p>
        </w:tc>
        <w:tc>
          <w:tcPr>
            <w:tcW w:w="2122" w:type="dxa"/>
            <w:tcBorders>
              <w:top w:val="single" w:sz="4" w:space="0" w:color="auto"/>
              <w:left w:val="single" w:sz="4" w:space="0" w:color="auto"/>
              <w:bottom w:val="single" w:sz="4" w:space="0" w:color="auto"/>
              <w:right w:val="single" w:sz="4" w:space="0" w:color="auto"/>
            </w:tcBorders>
            <w:shd w:val="clear" w:color="auto" w:fill="auto"/>
            <w:noWrap/>
          </w:tcPr>
          <w:p w:rsidR="00212D1E" w:rsidRPr="00E11944" w:rsidRDefault="00CF1CD7" w:rsidP="008C7488">
            <w:pPr>
              <w:ind w:firstLine="0"/>
              <w:jc w:val="center"/>
              <w:rPr>
                <w:color w:val="000000"/>
                <w:sz w:val="24"/>
                <w:szCs w:val="24"/>
              </w:rPr>
            </w:pPr>
            <w:r w:rsidRPr="00E11944">
              <w:rPr>
                <w:color w:val="000000"/>
                <w:sz w:val="24"/>
                <w:szCs w:val="24"/>
              </w:rPr>
              <w:t>71,1</w:t>
            </w:r>
            <w:r w:rsidR="00212D1E" w:rsidRPr="00E11944">
              <w:rPr>
                <w:color w:val="000000"/>
                <w:sz w:val="24"/>
                <w:szCs w:val="24"/>
              </w:rPr>
              <w:t>%</w:t>
            </w:r>
          </w:p>
        </w:tc>
      </w:tr>
      <w:tr w:rsidR="00212D1E" w:rsidRPr="00E11944" w:rsidTr="00CF1CD7">
        <w:trPr>
          <w:trHeight w:val="20"/>
          <w:jc w:val="center"/>
        </w:trPr>
        <w:tc>
          <w:tcPr>
            <w:tcW w:w="3104" w:type="dxa"/>
            <w:tcBorders>
              <w:top w:val="single" w:sz="4" w:space="0" w:color="auto"/>
              <w:left w:val="single" w:sz="4" w:space="0" w:color="auto"/>
              <w:bottom w:val="single" w:sz="4" w:space="0" w:color="auto"/>
              <w:right w:val="single" w:sz="4" w:space="0" w:color="auto"/>
            </w:tcBorders>
            <w:shd w:val="clear" w:color="auto" w:fill="auto"/>
            <w:noWrap/>
          </w:tcPr>
          <w:p w:rsidR="00212D1E" w:rsidRPr="00E11944" w:rsidRDefault="00212D1E" w:rsidP="008C7488">
            <w:pPr>
              <w:ind w:firstLine="0"/>
              <w:jc w:val="right"/>
              <w:rPr>
                <w:color w:val="000000"/>
                <w:sz w:val="24"/>
                <w:szCs w:val="24"/>
              </w:rPr>
            </w:pPr>
            <w:r w:rsidRPr="00E11944">
              <w:rPr>
                <w:color w:val="000000"/>
                <w:sz w:val="24"/>
                <w:szCs w:val="24"/>
              </w:rPr>
              <w:t>ВБС</w:t>
            </w:r>
          </w:p>
        </w:tc>
        <w:tc>
          <w:tcPr>
            <w:tcW w:w="2275" w:type="dxa"/>
            <w:tcBorders>
              <w:top w:val="single" w:sz="4" w:space="0" w:color="auto"/>
              <w:left w:val="single" w:sz="4" w:space="0" w:color="auto"/>
              <w:bottom w:val="single" w:sz="4" w:space="0" w:color="auto"/>
              <w:right w:val="single" w:sz="4" w:space="0" w:color="auto"/>
            </w:tcBorders>
            <w:shd w:val="clear" w:color="auto" w:fill="auto"/>
            <w:noWrap/>
          </w:tcPr>
          <w:p w:rsidR="00212D1E" w:rsidRPr="00E11944" w:rsidRDefault="00212D1E" w:rsidP="008C7488">
            <w:pPr>
              <w:jc w:val="right"/>
              <w:rPr>
                <w:color w:val="000000"/>
                <w:sz w:val="24"/>
                <w:szCs w:val="24"/>
              </w:rPr>
            </w:pPr>
            <w:r w:rsidRPr="00E11944">
              <w:rPr>
                <w:color w:val="000000"/>
                <w:sz w:val="24"/>
                <w:szCs w:val="24"/>
              </w:rPr>
              <w:t>17 470,1</w:t>
            </w:r>
          </w:p>
        </w:tc>
        <w:tc>
          <w:tcPr>
            <w:tcW w:w="1824" w:type="dxa"/>
            <w:tcBorders>
              <w:top w:val="single" w:sz="4" w:space="0" w:color="auto"/>
              <w:left w:val="single" w:sz="4" w:space="0" w:color="auto"/>
              <w:bottom w:val="single" w:sz="4" w:space="0" w:color="auto"/>
              <w:right w:val="single" w:sz="4" w:space="0" w:color="auto"/>
            </w:tcBorders>
            <w:shd w:val="clear" w:color="auto" w:fill="auto"/>
            <w:noWrap/>
          </w:tcPr>
          <w:p w:rsidR="00212D1E" w:rsidRPr="00E11944" w:rsidRDefault="00CF1CD7" w:rsidP="00CF1CD7">
            <w:pPr>
              <w:jc w:val="right"/>
              <w:rPr>
                <w:color w:val="000000"/>
                <w:sz w:val="24"/>
                <w:szCs w:val="24"/>
              </w:rPr>
            </w:pPr>
            <w:r w:rsidRPr="00E11944">
              <w:rPr>
                <w:color w:val="000000"/>
                <w:sz w:val="24"/>
                <w:szCs w:val="24"/>
              </w:rPr>
              <w:t>16 918,7</w:t>
            </w:r>
          </w:p>
        </w:tc>
        <w:tc>
          <w:tcPr>
            <w:tcW w:w="2122" w:type="dxa"/>
            <w:tcBorders>
              <w:top w:val="single" w:sz="4" w:space="0" w:color="auto"/>
              <w:left w:val="single" w:sz="4" w:space="0" w:color="auto"/>
              <w:bottom w:val="single" w:sz="4" w:space="0" w:color="auto"/>
              <w:right w:val="single" w:sz="4" w:space="0" w:color="auto"/>
            </w:tcBorders>
            <w:shd w:val="clear" w:color="auto" w:fill="auto"/>
            <w:noWrap/>
          </w:tcPr>
          <w:p w:rsidR="00212D1E" w:rsidRPr="00E11944" w:rsidRDefault="00CF1CD7" w:rsidP="008C7488">
            <w:pPr>
              <w:ind w:firstLine="0"/>
              <w:jc w:val="center"/>
              <w:rPr>
                <w:color w:val="000000"/>
                <w:sz w:val="24"/>
                <w:szCs w:val="24"/>
              </w:rPr>
            </w:pPr>
            <w:r w:rsidRPr="00E11944">
              <w:rPr>
                <w:color w:val="000000"/>
                <w:sz w:val="24"/>
                <w:szCs w:val="24"/>
              </w:rPr>
              <w:t>96,8</w:t>
            </w:r>
            <w:r w:rsidR="00212D1E" w:rsidRPr="00E11944">
              <w:rPr>
                <w:color w:val="000000"/>
                <w:sz w:val="24"/>
                <w:szCs w:val="24"/>
              </w:rPr>
              <w:t>%</w:t>
            </w:r>
          </w:p>
        </w:tc>
      </w:tr>
      <w:tr w:rsidR="00D943A6" w:rsidRPr="00E11944" w:rsidTr="00CF1CD7">
        <w:trPr>
          <w:trHeight w:val="20"/>
          <w:jc w:val="center"/>
        </w:trPr>
        <w:tc>
          <w:tcPr>
            <w:tcW w:w="3104" w:type="dxa"/>
            <w:shd w:val="clear" w:color="auto" w:fill="auto"/>
            <w:noWrap/>
            <w:vAlign w:val="center"/>
            <w:hideMark/>
          </w:tcPr>
          <w:p w:rsidR="00D943A6" w:rsidRPr="00E11944" w:rsidRDefault="00D943A6" w:rsidP="00C86C20">
            <w:pPr>
              <w:ind w:firstLine="0"/>
              <w:jc w:val="left"/>
              <w:rPr>
                <w:color w:val="000000"/>
                <w:sz w:val="24"/>
                <w:szCs w:val="24"/>
              </w:rPr>
            </w:pPr>
            <w:r w:rsidRPr="00E11944">
              <w:rPr>
                <w:color w:val="000000"/>
                <w:sz w:val="24"/>
                <w:szCs w:val="24"/>
              </w:rPr>
              <w:t>Всего</w:t>
            </w:r>
            <w:r w:rsidRPr="00E11944">
              <w:rPr>
                <w:b/>
                <w:color w:val="000000"/>
                <w:sz w:val="24"/>
                <w:szCs w:val="24"/>
              </w:rPr>
              <w:t xml:space="preserve"> за 2018 год</w:t>
            </w:r>
            <w:r w:rsidRPr="00E11944">
              <w:rPr>
                <w:color w:val="000000"/>
                <w:sz w:val="24"/>
                <w:szCs w:val="24"/>
              </w:rPr>
              <w:t>, в т.ч:</w:t>
            </w:r>
          </w:p>
        </w:tc>
        <w:tc>
          <w:tcPr>
            <w:tcW w:w="2275" w:type="dxa"/>
            <w:shd w:val="clear" w:color="auto" w:fill="auto"/>
            <w:noWrap/>
            <w:vAlign w:val="center"/>
            <w:hideMark/>
          </w:tcPr>
          <w:p w:rsidR="00D943A6" w:rsidRPr="00E11944" w:rsidRDefault="00D943A6">
            <w:pPr>
              <w:jc w:val="right"/>
              <w:rPr>
                <w:b/>
                <w:color w:val="000000"/>
                <w:sz w:val="24"/>
                <w:szCs w:val="24"/>
              </w:rPr>
            </w:pPr>
            <w:r w:rsidRPr="00E11944">
              <w:rPr>
                <w:b/>
                <w:color w:val="000000"/>
                <w:sz w:val="24"/>
                <w:szCs w:val="24"/>
              </w:rPr>
              <w:t>84 070, 4</w:t>
            </w:r>
          </w:p>
        </w:tc>
        <w:tc>
          <w:tcPr>
            <w:tcW w:w="1824" w:type="dxa"/>
            <w:shd w:val="clear" w:color="auto" w:fill="auto"/>
            <w:noWrap/>
            <w:vAlign w:val="center"/>
            <w:hideMark/>
          </w:tcPr>
          <w:p w:rsidR="00D943A6" w:rsidRPr="00E11944" w:rsidRDefault="00D943A6" w:rsidP="00BB7435">
            <w:pPr>
              <w:jc w:val="right"/>
              <w:rPr>
                <w:b/>
                <w:color w:val="000000"/>
                <w:sz w:val="24"/>
                <w:szCs w:val="24"/>
              </w:rPr>
            </w:pPr>
            <w:r w:rsidRPr="00E11944">
              <w:rPr>
                <w:b/>
                <w:color w:val="000000"/>
                <w:sz w:val="24"/>
                <w:szCs w:val="24"/>
              </w:rPr>
              <w:t>81 344,9</w:t>
            </w:r>
          </w:p>
        </w:tc>
        <w:tc>
          <w:tcPr>
            <w:tcW w:w="2122" w:type="dxa"/>
            <w:shd w:val="clear" w:color="auto" w:fill="auto"/>
            <w:noWrap/>
            <w:vAlign w:val="center"/>
            <w:hideMark/>
          </w:tcPr>
          <w:p w:rsidR="00D943A6" w:rsidRPr="00E11944" w:rsidRDefault="00D943A6" w:rsidP="008C7488">
            <w:pPr>
              <w:ind w:firstLine="0"/>
              <w:jc w:val="center"/>
              <w:rPr>
                <w:b/>
                <w:color w:val="000000"/>
                <w:sz w:val="24"/>
                <w:szCs w:val="24"/>
              </w:rPr>
            </w:pPr>
            <w:r w:rsidRPr="00E11944">
              <w:rPr>
                <w:b/>
                <w:color w:val="000000"/>
                <w:sz w:val="24"/>
                <w:szCs w:val="24"/>
              </w:rPr>
              <w:t>96,7%</w:t>
            </w:r>
          </w:p>
        </w:tc>
      </w:tr>
      <w:tr w:rsidR="00D943A6" w:rsidRPr="00E11944" w:rsidTr="00CF1CD7">
        <w:trPr>
          <w:trHeight w:val="20"/>
          <w:jc w:val="center"/>
        </w:trPr>
        <w:tc>
          <w:tcPr>
            <w:tcW w:w="3104" w:type="dxa"/>
            <w:shd w:val="clear" w:color="auto" w:fill="auto"/>
            <w:noWrap/>
            <w:vAlign w:val="center"/>
            <w:hideMark/>
          </w:tcPr>
          <w:p w:rsidR="00D943A6" w:rsidRPr="00E11944" w:rsidRDefault="00D943A6" w:rsidP="00956AEB">
            <w:pPr>
              <w:ind w:firstLine="0"/>
              <w:jc w:val="right"/>
              <w:rPr>
                <w:color w:val="000000"/>
                <w:sz w:val="24"/>
                <w:szCs w:val="24"/>
              </w:rPr>
            </w:pPr>
            <w:r w:rsidRPr="00E11944">
              <w:rPr>
                <w:color w:val="000000"/>
                <w:sz w:val="24"/>
                <w:szCs w:val="24"/>
              </w:rPr>
              <w:t>ОБ</w:t>
            </w:r>
          </w:p>
        </w:tc>
        <w:tc>
          <w:tcPr>
            <w:tcW w:w="2275" w:type="dxa"/>
            <w:shd w:val="clear" w:color="auto" w:fill="auto"/>
            <w:noWrap/>
            <w:vAlign w:val="center"/>
            <w:hideMark/>
          </w:tcPr>
          <w:p w:rsidR="00D943A6" w:rsidRPr="00E11944" w:rsidRDefault="00D943A6" w:rsidP="00C86C20">
            <w:pPr>
              <w:jc w:val="right"/>
              <w:rPr>
                <w:color w:val="000000"/>
                <w:sz w:val="24"/>
                <w:szCs w:val="24"/>
              </w:rPr>
            </w:pPr>
            <w:r w:rsidRPr="00E11944">
              <w:rPr>
                <w:color w:val="000000"/>
                <w:sz w:val="24"/>
                <w:szCs w:val="24"/>
              </w:rPr>
              <w:t xml:space="preserve">58 089,1 </w:t>
            </w:r>
          </w:p>
        </w:tc>
        <w:tc>
          <w:tcPr>
            <w:tcW w:w="1824" w:type="dxa"/>
            <w:shd w:val="clear" w:color="auto" w:fill="auto"/>
            <w:noWrap/>
            <w:vAlign w:val="center"/>
            <w:hideMark/>
          </w:tcPr>
          <w:p w:rsidR="00D943A6" w:rsidRPr="00E11944" w:rsidRDefault="00D943A6" w:rsidP="00BB7435">
            <w:pPr>
              <w:jc w:val="right"/>
              <w:rPr>
                <w:color w:val="000000"/>
                <w:sz w:val="24"/>
                <w:szCs w:val="24"/>
              </w:rPr>
            </w:pPr>
            <w:r w:rsidRPr="00E11944">
              <w:rPr>
                <w:color w:val="000000"/>
                <w:sz w:val="24"/>
                <w:szCs w:val="24"/>
              </w:rPr>
              <w:t xml:space="preserve">56 612,5 </w:t>
            </w:r>
          </w:p>
        </w:tc>
        <w:tc>
          <w:tcPr>
            <w:tcW w:w="2122" w:type="dxa"/>
            <w:shd w:val="clear" w:color="auto" w:fill="auto"/>
            <w:noWrap/>
            <w:vAlign w:val="center"/>
            <w:hideMark/>
          </w:tcPr>
          <w:p w:rsidR="00D943A6" w:rsidRPr="00E11944" w:rsidRDefault="00D943A6" w:rsidP="00721BAC">
            <w:pPr>
              <w:ind w:firstLine="0"/>
              <w:jc w:val="center"/>
              <w:rPr>
                <w:color w:val="000000"/>
                <w:sz w:val="24"/>
                <w:szCs w:val="24"/>
              </w:rPr>
            </w:pPr>
            <w:r w:rsidRPr="00E11944">
              <w:rPr>
                <w:color w:val="000000"/>
                <w:sz w:val="24"/>
                <w:szCs w:val="24"/>
              </w:rPr>
              <w:t>97,5%</w:t>
            </w:r>
          </w:p>
        </w:tc>
      </w:tr>
      <w:tr w:rsidR="00D943A6" w:rsidRPr="00E11944" w:rsidTr="00CF1CD7">
        <w:trPr>
          <w:trHeight w:val="20"/>
          <w:jc w:val="center"/>
        </w:trPr>
        <w:tc>
          <w:tcPr>
            <w:tcW w:w="3104" w:type="dxa"/>
            <w:shd w:val="clear" w:color="auto" w:fill="auto"/>
            <w:noWrap/>
            <w:vAlign w:val="center"/>
            <w:hideMark/>
          </w:tcPr>
          <w:p w:rsidR="00D943A6" w:rsidRPr="00E11944" w:rsidRDefault="00D943A6" w:rsidP="00956AEB">
            <w:pPr>
              <w:ind w:firstLine="0"/>
              <w:jc w:val="right"/>
              <w:rPr>
                <w:color w:val="000000"/>
                <w:sz w:val="24"/>
                <w:szCs w:val="24"/>
              </w:rPr>
            </w:pPr>
            <w:r w:rsidRPr="00E11944">
              <w:rPr>
                <w:color w:val="000000"/>
                <w:sz w:val="24"/>
                <w:szCs w:val="24"/>
              </w:rPr>
              <w:t>ФБ</w:t>
            </w:r>
          </w:p>
        </w:tc>
        <w:tc>
          <w:tcPr>
            <w:tcW w:w="2275" w:type="dxa"/>
            <w:shd w:val="clear" w:color="auto" w:fill="auto"/>
            <w:noWrap/>
            <w:vAlign w:val="center"/>
            <w:hideMark/>
          </w:tcPr>
          <w:p w:rsidR="00D943A6" w:rsidRPr="00E11944" w:rsidRDefault="00D943A6" w:rsidP="00721BAC">
            <w:pPr>
              <w:jc w:val="right"/>
              <w:rPr>
                <w:color w:val="000000"/>
                <w:sz w:val="24"/>
                <w:szCs w:val="24"/>
              </w:rPr>
            </w:pPr>
            <w:r w:rsidRPr="00E11944">
              <w:rPr>
                <w:color w:val="000000"/>
                <w:sz w:val="24"/>
                <w:szCs w:val="24"/>
              </w:rPr>
              <w:t>6 400,7</w:t>
            </w:r>
          </w:p>
        </w:tc>
        <w:tc>
          <w:tcPr>
            <w:tcW w:w="1824" w:type="dxa"/>
            <w:shd w:val="clear" w:color="auto" w:fill="auto"/>
            <w:noWrap/>
            <w:vAlign w:val="center"/>
            <w:hideMark/>
          </w:tcPr>
          <w:p w:rsidR="00D943A6" w:rsidRPr="00E11944" w:rsidRDefault="00D943A6" w:rsidP="00721BAC">
            <w:pPr>
              <w:jc w:val="right"/>
              <w:rPr>
                <w:color w:val="000000"/>
                <w:sz w:val="24"/>
                <w:szCs w:val="24"/>
              </w:rPr>
            </w:pPr>
            <w:r w:rsidRPr="00E11944">
              <w:rPr>
                <w:color w:val="000000"/>
                <w:sz w:val="24"/>
                <w:szCs w:val="24"/>
              </w:rPr>
              <w:t>5 699,2</w:t>
            </w:r>
          </w:p>
        </w:tc>
        <w:tc>
          <w:tcPr>
            <w:tcW w:w="2122" w:type="dxa"/>
            <w:shd w:val="clear" w:color="auto" w:fill="auto"/>
            <w:noWrap/>
            <w:vAlign w:val="center"/>
            <w:hideMark/>
          </w:tcPr>
          <w:p w:rsidR="00D943A6" w:rsidRPr="00E11944" w:rsidRDefault="00D943A6" w:rsidP="00721BAC">
            <w:pPr>
              <w:ind w:firstLine="0"/>
              <w:jc w:val="center"/>
              <w:rPr>
                <w:color w:val="000000"/>
                <w:sz w:val="24"/>
                <w:szCs w:val="24"/>
              </w:rPr>
            </w:pPr>
            <w:r w:rsidRPr="00E11944">
              <w:rPr>
                <w:color w:val="000000"/>
                <w:sz w:val="24"/>
                <w:szCs w:val="24"/>
              </w:rPr>
              <w:t>89,0%</w:t>
            </w:r>
          </w:p>
        </w:tc>
      </w:tr>
      <w:tr w:rsidR="00D943A6" w:rsidRPr="00E11944" w:rsidTr="00CF1CD7">
        <w:trPr>
          <w:trHeight w:val="20"/>
          <w:jc w:val="center"/>
        </w:trPr>
        <w:tc>
          <w:tcPr>
            <w:tcW w:w="3104" w:type="dxa"/>
            <w:shd w:val="clear" w:color="auto" w:fill="auto"/>
            <w:noWrap/>
            <w:vAlign w:val="center"/>
            <w:hideMark/>
          </w:tcPr>
          <w:p w:rsidR="00D943A6" w:rsidRPr="00E11944" w:rsidRDefault="00D943A6" w:rsidP="00956AEB">
            <w:pPr>
              <w:ind w:firstLine="0"/>
              <w:jc w:val="right"/>
              <w:rPr>
                <w:color w:val="000000"/>
                <w:sz w:val="24"/>
                <w:szCs w:val="24"/>
              </w:rPr>
            </w:pPr>
            <w:r w:rsidRPr="00E11944">
              <w:rPr>
                <w:color w:val="000000"/>
                <w:sz w:val="24"/>
                <w:szCs w:val="24"/>
              </w:rPr>
              <w:t>МБ</w:t>
            </w:r>
          </w:p>
        </w:tc>
        <w:tc>
          <w:tcPr>
            <w:tcW w:w="2275" w:type="dxa"/>
            <w:shd w:val="clear" w:color="auto" w:fill="auto"/>
            <w:noWrap/>
            <w:vAlign w:val="center"/>
            <w:hideMark/>
          </w:tcPr>
          <w:p w:rsidR="00D943A6" w:rsidRPr="00E11944" w:rsidRDefault="00D943A6">
            <w:pPr>
              <w:jc w:val="right"/>
              <w:rPr>
                <w:color w:val="000000"/>
                <w:sz w:val="24"/>
                <w:szCs w:val="24"/>
              </w:rPr>
            </w:pPr>
            <w:r w:rsidRPr="00E11944">
              <w:rPr>
                <w:color w:val="000000"/>
                <w:sz w:val="24"/>
                <w:szCs w:val="24"/>
              </w:rPr>
              <w:t>767,3</w:t>
            </w:r>
          </w:p>
        </w:tc>
        <w:tc>
          <w:tcPr>
            <w:tcW w:w="1824" w:type="dxa"/>
            <w:shd w:val="clear" w:color="auto" w:fill="auto"/>
            <w:noWrap/>
            <w:vAlign w:val="center"/>
            <w:hideMark/>
          </w:tcPr>
          <w:p w:rsidR="00D943A6" w:rsidRPr="00E11944" w:rsidRDefault="00D943A6" w:rsidP="00721BAC">
            <w:pPr>
              <w:jc w:val="right"/>
              <w:rPr>
                <w:color w:val="000000"/>
                <w:sz w:val="24"/>
                <w:szCs w:val="24"/>
              </w:rPr>
            </w:pPr>
            <w:r w:rsidRPr="00E11944">
              <w:rPr>
                <w:color w:val="000000"/>
                <w:sz w:val="24"/>
                <w:szCs w:val="24"/>
              </w:rPr>
              <w:t>711,3</w:t>
            </w:r>
          </w:p>
        </w:tc>
        <w:tc>
          <w:tcPr>
            <w:tcW w:w="2122" w:type="dxa"/>
            <w:shd w:val="clear" w:color="auto" w:fill="auto"/>
            <w:noWrap/>
            <w:vAlign w:val="center"/>
            <w:hideMark/>
          </w:tcPr>
          <w:p w:rsidR="00D943A6" w:rsidRPr="00E11944" w:rsidRDefault="00D943A6" w:rsidP="00721BAC">
            <w:pPr>
              <w:ind w:firstLine="0"/>
              <w:jc w:val="center"/>
              <w:rPr>
                <w:color w:val="000000"/>
                <w:sz w:val="24"/>
                <w:szCs w:val="24"/>
              </w:rPr>
            </w:pPr>
            <w:r w:rsidRPr="00E11944">
              <w:rPr>
                <w:color w:val="000000"/>
                <w:sz w:val="24"/>
                <w:szCs w:val="24"/>
              </w:rPr>
              <w:t>92,7%</w:t>
            </w:r>
          </w:p>
        </w:tc>
      </w:tr>
      <w:tr w:rsidR="00D943A6" w:rsidRPr="00E11944" w:rsidTr="00CF1CD7">
        <w:trPr>
          <w:trHeight w:val="20"/>
          <w:jc w:val="center"/>
        </w:trPr>
        <w:tc>
          <w:tcPr>
            <w:tcW w:w="3104" w:type="dxa"/>
            <w:shd w:val="clear" w:color="auto" w:fill="auto"/>
            <w:noWrap/>
            <w:vAlign w:val="center"/>
            <w:hideMark/>
          </w:tcPr>
          <w:p w:rsidR="00D943A6" w:rsidRPr="00E11944" w:rsidRDefault="00D943A6" w:rsidP="00956AEB">
            <w:pPr>
              <w:ind w:firstLine="0"/>
              <w:jc w:val="right"/>
              <w:rPr>
                <w:color w:val="000000"/>
                <w:sz w:val="24"/>
                <w:szCs w:val="24"/>
              </w:rPr>
            </w:pPr>
            <w:r w:rsidRPr="00E11944">
              <w:rPr>
                <w:color w:val="000000"/>
                <w:sz w:val="24"/>
                <w:szCs w:val="24"/>
              </w:rPr>
              <w:t>ВБС</w:t>
            </w:r>
          </w:p>
        </w:tc>
        <w:tc>
          <w:tcPr>
            <w:tcW w:w="2275" w:type="dxa"/>
            <w:shd w:val="clear" w:color="auto" w:fill="auto"/>
            <w:noWrap/>
            <w:vAlign w:val="center"/>
            <w:hideMark/>
          </w:tcPr>
          <w:p w:rsidR="00D943A6" w:rsidRPr="00E11944" w:rsidRDefault="00D943A6" w:rsidP="00721BAC">
            <w:pPr>
              <w:jc w:val="right"/>
              <w:rPr>
                <w:color w:val="000000"/>
                <w:sz w:val="24"/>
                <w:szCs w:val="24"/>
              </w:rPr>
            </w:pPr>
            <w:r w:rsidRPr="00E11944">
              <w:rPr>
                <w:color w:val="000000"/>
                <w:sz w:val="24"/>
                <w:szCs w:val="24"/>
              </w:rPr>
              <w:t>18 813,3</w:t>
            </w:r>
          </w:p>
        </w:tc>
        <w:tc>
          <w:tcPr>
            <w:tcW w:w="1824" w:type="dxa"/>
            <w:shd w:val="clear" w:color="auto" w:fill="auto"/>
            <w:noWrap/>
            <w:vAlign w:val="center"/>
            <w:hideMark/>
          </w:tcPr>
          <w:p w:rsidR="00D943A6" w:rsidRPr="00E11944" w:rsidRDefault="00D943A6" w:rsidP="00721BAC">
            <w:pPr>
              <w:jc w:val="right"/>
              <w:rPr>
                <w:color w:val="000000"/>
                <w:sz w:val="24"/>
                <w:szCs w:val="24"/>
              </w:rPr>
            </w:pPr>
            <w:r w:rsidRPr="00E11944">
              <w:rPr>
                <w:color w:val="000000"/>
                <w:sz w:val="24"/>
                <w:szCs w:val="24"/>
              </w:rPr>
              <w:t>18 311,8</w:t>
            </w:r>
          </w:p>
        </w:tc>
        <w:tc>
          <w:tcPr>
            <w:tcW w:w="2122" w:type="dxa"/>
            <w:shd w:val="clear" w:color="auto" w:fill="auto"/>
            <w:noWrap/>
            <w:vAlign w:val="center"/>
            <w:hideMark/>
          </w:tcPr>
          <w:p w:rsidR="00D943A6" w:rsidRPr="00E11944" w:rsidRDefault="00D943A6" w:rsidP="00721BAC">
            <w:pPr>
              <w:ind w:firstLine="0"/>
              <w:jc w:val="center"/>
              <w:rPr>
                <w:color w:val="000000"/>
                <w:sz w:val="24"/>
                <w:szCs w:val="24"/>
              </w:rPr>
            </w:pPr>
            <w:r w:rsidRPr="00E11944">
              <w:rPr>
                <w:color w:val="000000"/>
                <w:sz w:val="24"/>
                <w:szCs w:val="24"/>
              </w:rPr>
              <w:t>97,3%</w:t>
            </w:r>
          </w:p>
        </w:tc>
      </w:tr>
    </w:tbl>
    <w:p w:rsidR="00D96953" w:rsidRPr="00E11944" w:rsidRDefault="00D96953" w:rsidP="00326080">
      <w:pPr>
        <w:rPr>
          <w:szCs w:val="28"/>
        </w:rPr>
      </w:pPr>
    </w:p>
    <w:p w:rsidR="00E67580" w:rsidRPr="00E11944" w:rsidRDefault="00D96953" w:rsidP="00326080">
      <w:pPr>
        <w:rPr>
          <w:szCs w:val="28"/>
        </w:rPr>
      </w:pPr>
      <w:r w:rsidRPr="00E11944">
        <w:rPr>
          <w:szCs w:val="28"/>
        </w:rPr>
        <w:t xml:space="preserve">В </w:t>
      </w:r>
      <w:r w:rsidR="00326080" w:rsidRPr="00E11944">
        <w:rPr>
          <w:szCs w:val="28"/>
        </w:rPr>
        <w:t>201</w:t>
      </w:r>
      <w:r w:rsidR="008C7488" w:rsidRPr="00E11944">
        <w:rPr>
          <w:szCs w:val="28"/>
        </w:rPr>
        <w:t>9</w:t>
      </w:r>
      <w:r w:rsidR="00326080" w:rsidRPr="00E11944">
        <w:rPr>
          <w:szCs w:val="28"/>
        </w:rPr>
        <w:t xml:space="preserve"> году подавляющая часть от общего объема расходов (8</w:t>
      </w:r>
      <w:r w:rsidR="0000353B" w:rsidRPr="00E11944">
        <w:rPr>
          <w:szCs w:val="28"/>
        </w:rPr>
        <w:t>4,4</w:t>
      </w:r>
      <w:r w:rsidRPr="00E11944">
        <w:rPr>
          <w:szCs w:val="28"/>
        </w:rPr>
        <w:t>%</w:t>
      </w:r>
      <w:r w:rsidR="00326080" w:rsidRPr="00E11944">
        <w:rPr>
          <w:szCs w:val="28"/>
        </w:rPr>
        <w:t>) приходится на 5 программ: «Развитие здравоохранения», «Развитие образования», «Социальная поддержка граждан»,</w:t>
      </w:r>
      <w:r w:rsidRPr="00E11944">
        <w:rPr>
          <w:szCs w:val="28"/>
        </w:rPr>
        <w:t xml:space="preserve"> «Обеспечение комфортной среды проживания населения»,</w:t>
      </w:r>
      <w:r w:rsidR="00326080" w:rsidRPr="00E11944">
        <w:rPr>
          <w:szCs w:val="28"/>
        </w:rPr>
        <w:t xml:space="preserve"> «Управление региональными финансами, создание условий для эффективного и ответственного управлен</w:t>
      </w:r>
      <w:r w:rsidRPr="00E11944">
        <w:rPr>
          <w:szCs w:val="28"/>
        </w:rPr>
        <w:t>ия муниципальными финансами»</w:t>
      </w:r>
      <w:r w:rsidR="00326080" w:rsidRPr="00E11944">
        <w:rPr>
          <w:szCs w:val="28"/>
        </w:rPr>
        <w:t xml:space="preserve">. По </w:t>
      </w:r>
      <w:r w:rsidRPr="00E11944">
        <w:rPr>
          <w:szCs w:val="28"/>
        </w:rPr>
        <w:t xml:space="preserve">четырем </w:t>
      </w:r>
      <w:r w:rsidR="00645C72" w:rsidRPr="00E11944">
        <w:rPr>
          <w:szCs w:val="28"/>
        </w:rPr>
        <w:t>из них</w:t>
      </w:r>
      <w:r w:rsidR="00326080" w:rsidRPr="00E11944">
        <w:rPr>
          <w:szCs w:val="28"/>
        </w:rPr>
        <w:t xml:space="preserve"> отмечается высокая степень освоения предусмотренных средств по всем источникам</w:t>
      </w:r>
      <w:r w:rsidR="00F04BB2" w:rsidRPr="00E11944">
        <w:rPr>
          <w:szCs w:val="28"/>
        </w:rPr>
        <w:t xml:space="preserve"> (не менее 95%)</w:t>
      </w:r>
      <w:r w:rsidR="00326080" w:rsidRPr="00E11944">
        <w:rPr>
          <w:szCs w:val="28"/>
        </w:rPr>
        <w:t xml:space="preserve"> (Рисунок </w:t>
      </w:r>
      <w:r w:rsidR="00645C72" w:rsidRPr="00E11944">
        <w:rPr>
          <w:szCs w:val="28"/>
        </w:rPr>
        <w:t>5</w:t>
      </w:r>
      <w:r w:rsidR="00326080" w:rsidRPr="00E11944">
        <w:rPr>
          <w:szCs w:val="28"/>
        </w:rPr>
        <w:t>).</w:t>
      </w:r>
    </w:p>
    <w:p w:rsidR="00E67580" w:rsidRPr="00E11944" w:rsidRDefault="00E67580" w:rsidP="00326080">
      <w:pPr>
        <w:rPr>
          <w:szCs w:val="28"/>
        </w:rPr>
        <w:sectPr w:rsidR="00E67580" w:rsidRPr="00E11944" w:rsidSect="00EC205D">
          <w:headerReference w:type="default" r:id="rId11"/>
          <w:pgSz w:w="11906" w:h="16838"/>
          <w:pgMar w:top="1134" w:right="850" w:bottom="1134" w:left="1418" w:header="708" w:footer="708" w:gutter="0"/>
          <w:cols w:space="708"/>
          <w:titlePg/>
          <w:docGrid w:linePitch="381"/>
        </w:sectPr>
      </w:pPr>
    </w:p>
    <w:p w:rsidR="00326080" w:rsidRPr="00E11944" w:rsidRDefault="00326080" w:rsidP="00326080">
      <w:pPr>
        <w:rPr>
          <w:szCs w:val="28"/>
        </w:rPr>
      </w:pPr>
    </w:p>
    <w:p w:rsidR="00E11D0B" w:rsidRPr="00E11944" w:rsidRDefault="00E11D0B" w:rsidP="00326080">
      <w:pPr>
        <w:rPr>
          <w:szCs w:val="28"/>
        </w:rPr>
      </w:pPr>
    </w:p>
    <w:p w:rsidR="00326080" w:rsidRPr="00E11944" w:rsidRDefault="00326080" w:rsidP="00326080">
      <w:pPr>
        <w:rPr>
          <w:szCs w:val="28"/>
        </w:rPr>
      </w:pPr>
    </w:p>
    <w:p w:rsidR="00326080" w:rsidRPr="00E11944" w:rsidRDefault="00486F35" w:rsidP="00326080">
      <w:pPr>
        <w:rPr>
          <w:szCs w:val="28"/>
        </w:rPr>
      </w:pPr>
      <w:r w:rsidRPr="00E11944">
        <w:rPr>
          <w:b/>
          <w:noProof/>
          <w:sz w:val="20"/>
          <w:szCs w:val="20"/>
        </w:rPr>
        <w:drawing>
          <wp:inline distT="0" distB="0" distL="0" distR="0">
            <wp:extent cx="8523854" cy="5008687"/>
            <wp:effectExtent l="19050" t="0" r="10546" b="1463"/>
            <wp:docPr id="7" name="Диаграмма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A64FC4" w:rsidRPr="00E11944" w:rsidRDefault="00A64FC4" w:rsidP="00326080"/>
    <w:p w:rsidR="00C565C5" w:rsidRPr="00E11944" w:rsidRDefault="00C565C5" w:rsidP="00C565C5">
      <w:pPr>
        <w:ind w:firstLine="0"/>
        <w:jc w:val="center"/>
        <w:rPr>
          <w:sz w:val="24"/>
          <w:szCs w:val="28"/>
        </w:rPr>
      </w:pPr>
      <w:r w:rsidRPr="00E11944">
        <w:rPr>
          <w:sz w:val="24"/>
          <w:szCs w:val="28"/>
        </w:rPr>
        <w:t>Рисунок 5</w:t>
      </w:r>
    </w:p>
    <w:p w:rsidR="00486F35" w:rsidRPr="00E11944" w:rsidRDefault="00486F35" w:rsidP="00C565C5">
      <w:pPr>
        <w:ind w:firstLine="0"/>
        <w:jc w:val="center"/>
        <w:rPr>
          <w:sz w:val="24"/>
          <w:szCs w:val="28"/>
        </w:rPr>
      </w:pPr>
    </w:p>
    <w:p w:rsidR="00486F35" w:rsidRPr="00E11944" w:rsidRDefault="00486F35">
      <w:pPr>
        <w:ind w:firstLine="0"/>
        <w:jc w:val="left"/>
        <w:rPr>
          <w:sz w:val="20"/>
          <w:szCs w:val="20"/>
        </w:rPr>
      </w:pPr>
      <w:r w:rsidRPr="00E11944">
        <w:rPr>
          <w:sz w:val="20"/>
          <w:szCs w:val="20"/>
        </w:rPr>
        <w:t xml:space="preserve">* </w:t>
      </w:r>
      <w:r w:rsidR="005B6C70" w:rsidRPr="00E11944">
        <w:rPr>
          <w:sz w:val="20"/>
          <w:szCs w:val="20"/>
        </w:rPr>
        <w:t xml:space="preserve">По </w:t>
      </w:r>
      <w:r w:rsidR="00D528BD" w:rsidRPr="00E11944">
        <w:rPr>
          <w:sz w:val="20"/>
          <w:szCs w:val="20"/>
        </w:rPr>
        <w:t>ряду</w:t>
      </w:r>
      <w:r w:rsidR="005B6C70" w:rsidRPr="00E11944">
        <w:rPr>
          <w:sz w:val="20"/>
          <w:szCs w:val="20"/>
        </w:rPr>
        <w:t xml:space="preserve"> мероприяти</w:t>
      </w:r>
      <w:r w:rsidR="00D528BD" w:rsidRPr="00E11944">
        <w:rPr>
          <w:sz w:val="20"/>
          <w:szCs w:val="20"/>
        </w:rPr>
        <w:t>й</w:t>
      </w:r>
      <w:r w:rsidR="005B6C70" w:rsidRPr="00E11944">
        <w:rPr>
          <w:sz w:val="20"/>
          <w:szCs w:val="20"/>
        </w:rPr>
        <w:t xml:space="preserve"> в Плане реализации ГП «Образование» по состоянию на 31.12.2019 не учтены средства, добавленные в уточнение бюджета, в связи с чем касса превысила плановые значения</w:t>
      </w:r>
    </w:p>
    <w:p w:rsidR="00A64FC4" w:rsidRPr="00E11944" w:rsidRDefault="00A64FC4" w:rsidP="00A64FC4">
      <w:pPr>
        <w:rPr>
          <w:szCs w:val="28"/>
        </w:rPr>
      </w:pPr>
      <w:r w:rsidRPr="00E11944">
        <w:rPr>
          <w:szCs w:val="28"/>
        </w:rPr>
        <w:lastRenderedPageBreak/>
        <w:t>На реализацию оставшихся 11 программ в 201</w:t>
      </w:r>
      <w:r w:rsidR="009C5FF8" w:rsidRPr="00E11944">
        <w:rPr>
          <w:szCs w:val="28"/>
        </w:rPr>
        <w:t>9</w:t>
      </w:r>
      <w:r w:rsidRPr="00E11944">
        <w:rPr>
          <w:szCs w:val="28"/>
        </w:rPr>
        <w:t xml:space="preserve"> году израсходовано 14,8 млрд рублей, при этом средняя степень освоения средств по указанным программам составила </w:t>
      </w:r>
      <w:r w:rsidR="003835AF" w:rsidRPr="00E11944">
        <w:rPr>
          <w:szCs w:val="28"/>
        </w:rPr>
        <w:t>91,3</w:t>
      </w:r>
      <w:r w:rsidRPr="00E11944">
        <w:rPr>
          <w:szCs w:val="28"/>
        </w:rPr>
        <w:t>% (Рисунок 6).</w:t>
      </w:r>
    </w:p>
    <w:p w:rsidR="000D1687" w:rsidRPr="00E11944" w:rsidRDefault="00D5649E" w:rsidP="000D1687">
      <w:pPr>
        <w:ind w:firstLine="0"/>
        <w:jc w:val="center"/>
      </w:pPr>
      <w:r w:rsidRPr="00E11944">
        <w:rPr>
          <w:noProof/>
        </w:rPr>
        <w:drawing>
          <wp:inline distT="0" distB="0" distL="0" distR="0">
            <wp:extent cx="9302750" cy="5526405"/>
            <wp:effectExtent l="19050" t="0" r="12700" b="0"/>
            <wp:docPr id="6" name="Диаграмма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326080" w:rsidRPr="00E11944" w:rsidRDefault="00326080" w:rsidP="006A0974">
      <w:pPr>
        <w:ind w:firstLine="0"/>
        <w:jc w:val="center"/>
        <w:rPr>
          <w:szCs w:val="28"/>
        </w:rPr>
      </w:pPr>
      <w:r w:rsidRPr="00E11944">
        <w:rPr>
          <w:sz w:val="24"/>
          <w:szCs w:val="28"/>
        </w:rPr>
        <w:t xml:space="preserve">Рисунок </w:t>
      </w:r>
      <w:r w:rsidR="006D4287" w:rsidRPr="00E11944">
        <w:rPr>
          <w:sz w:val="24"/>
          <w:szCs w:val="28"/>
        </w:rPr>
        <w:t>6</w:t>
      </w:r>
    </w:p>
    <w:p w:rsidR="000D1687" w:rsidRPr="00E11944" w:rsidRDefault="000D1687" w:rsidP="00326080">
      <w:pPr>
        <w:rPr>
          <w:sz w:val="20"/>
          <w:szCs w:val="20"/>
        </w:rPr>
      </w:pPr>
      <w:r w:rsidRPr="00E11944">
        <w:rPr>
          <w:sz w:val="20"/>
          <w:szCs w:val="20"/>
        </w:rPr>
        <w:t>*Превышение плановых объемов за счет средств ВБС (средства Фонда социального страхования)</w:t>
      </w:r>
    </w:p>
    <w:p w:rsidR="00326080" w:rsidRPr="00E11944" w:rsidRDefault="00326080" w:rsidP="00326080">
      <w:pPr>
        <w:rPr>
          <w:sz w:val="20"/>
          <w:szCs w:val="20"/>
        </w:rPr>
        <w:sectPr w:rsidR="00326080" w:rsidRPr="00E11944" w:rsidSect="00EC205D">
          <w:pgSz w:w="16838" w:h="11906" w:orient="landscape"/>
          <w:pgMar w:top="851" w:right="678" w:bottom="567" w:left="851" w:header="709" w:footer="709" w:gutter="0"/>
          <w:cols w:space="708"/>
          <w:docGrid w:linePitch="360"/>
        </w:sectPr>
      </w:pPr>
    </w:p>
    <w:p w:rsidR="008B18C2" w:rsidRPr="00E11944" w:rsidRDefault="008B18C2" w:rsidP="00D30883">
      <w:pPr>
        <w:autoSpaceDE w:val="0"/>
        <w:autoSpaceDN w:val="0"/>
        <w:adjustRightInd w:val="0"/>
        <w:rPr>
          <w:b/>
        </w:rPr>
      </w:pPr>
      <w:r w:rsidRPr="00E11944">
        <w:rPr>
          <w:b/>
        </w:rPr>
        <w:lastRenderedPageBreak/>
        <w:t>4. Оценка эффективности</w:t>
      </w:r>
    </w:p>
    <w:p w:rsidR="00AE727B" w:rsidRPr="00E11944" w:rsidRDefault="006244A7" w:rsidP="00D30883">
      <w:pPr>
        <w:autoSpaceDE w:val="0"/>
        <w:autoSpaceDN w:val="0"/>
        <w:adjustRightInd w:val="0"/>
        <w:rPr>
          <w:bCs/>
          <w:szCs w:val="28"/>
        </w:rPr>
      </w:pPr>
      <w:r w:rsidRPr="00E11944">
        <w:t xml:space="preserve">Оценка эффективности государственных программ проводилась ответственными исполнителями на основе </w:t>
      </w:r>
      <w:r w:rsidR="00AE727B" w:rsidRPr="00E11944">
        <w:rPr>
          <w:szCs w:val="28"/>
        </w:rPr>
        <w:t xml:space="preserve">методики, установленной в </w:t>
      </w:r>
      <w:r w:rsidR="003443E8" w:rsidRPr="00E11944">
        <w:rPr>
          <w:szCs w:val="28"/>
        </w:rPr>
        <w:t>Порядке</w:t>
      </w:r>
      <w:r w:rsidR="003443E8" w:rsidRPr="00E11944">
        <w:t xml:space="preserve">, </w:t>
      </w:r>
      <w:r w:rsidR="00AE727B" w:rsidRPr="00E11944">
        <w:rPr>
          <w:bCs/>
          <w:szCs w:val="28"/>
        </w:rPr>
        <w:t>исходя из значения интегрального показателя эффективности, рассчитываемого на основе</w:t>
      </w:r>
      <w:r w:rsidR="003F33E7" w:rsidRPr="00E11944">
        <w:rPr>
          <w:bCs/>
          <w:szCs w:val="28"/>
        </w:rPr>
        <w:t xml:space="preserve"> трех</w:t>
      </w:r>
      <w:r w:rsidR="00AE727B" w:rsidRPr="00E11944">
        <w:rPr>
          <w:bCs/>
          <w:szCs w:val="28"/>
        </w:rPr>
        <w:t xml:space="preserve"> критериев:</w:t>
      </w:r>
    </w:p>
    <w:p w:rsidR="00AE727B" w:rsidRPr="00E11944" w:rsidRDefault="00AE727B" w:rsidP="00D30883">
      <w:pPr>
        <w:autoSpaceDE w:val="0"/>
        <w:autoSpaceDN w:val="0"/>
        <w:adjustRightInd w:val="0"/>
        <w:rPr>
          <w:bCs/>
          <w:szCs w:val="28"/>
        </w:rPr>
      </w:pPr>
      <w:r w:rsidRPr="00E11944">
        <w:rPr>
          <w:bCs/>
          <w:szCs w:val="28"/>
        </w:rPr>
        <w:t xml:space="preserve">К1 – степень достижения целей и решения задач государственной программы (степень достижения </w:t>
      </w:r>
      <w:r w:rsidR="00FA5F18" w:rsidRPr="00E11944">
        <w:rPr>
          <w:bCs/>
          <w:szCs w:val="28"/>
        </w:rPr>
        <w:t xml:space="preserve">значений </w:t>
      </w:r>
      <w:r w:rsidRPr="00E11944">
        <w:rPr>
          <w:bCs/>
          <w:szCs w:val="28"/>
        </w:rPr>
        <w:t>показателей);</w:t>
      </w:r>
    </w:p>
    <w:p w:rsidR="00AE727B" w:rsidRPr="00E11944" w:rsidRDefault="00AE727B" w:rsidP="00D30883">
      <w:pPr>
        <w:autoSpaceDE w:val="0"/>
        <w:autoSpaceDN w:val="0"/>
        <w:adjustRightInd w:val="0"/>
        <w:rPr>
          <w:bCs/>
          <w:szCs w:val="28"/>
        </w:rPr>
      </w:pPr>
      <w:r w:rsidRPr="00E11944">
        <w:rPr>
          <w:bCs/>
          <w:szCs w:val="28"/>
        </w:rPr>
        <w:t>К2 – динамика значений показателей по сравнению с предшествующим (201</w:t>
      </w:r>
      <w:r w:rsidR="00FD0612" w:rsidRPr="00E11944">
        <w:rPr>
          <w:bCs/>
          <w:szCs w:val="28"/>
        </w:rPr>
        <w:t>7</w:t>
      </w:r>
      <w:r w:rsidRPr="00E11944">
        <w:rPr>
          <w:bCs/>
          <w:szCs w:val="28"/>
        </w:rPr>
        <w:t>) годом;</w:t>
      </w:r>
    </w:p>
    <w:p w:rsidR="00AE727B" w:rsidRPr="00E11944" w:rsidRDefault="00AE727B" w:rsidP="00D30883">
      <w:pPr>
        <w:autoSpaceDE w:val="0"/>
        <w:autoSpaceDN w:val="0"/>
        <w:adjustRightInd w:val="0"/>
        <w:rPr>
          <w:bCs/>
          <w:szCs w:val="28"/>
        </w:rPr>
      </w:pPr>
      <w:r w:rsidRPr="00E11944">
        <w:rPr>
          <w:szCs w:val="28"/>
        </w:rPr>
        <w:t>К3 –</w:t>
      </w:r>
      <w:r w:rsidR="00834828" w:rsidRPr="00E11944">
        <w:rPr>
          <w:bCs/>
          <w:szCs w:val="28"/>
        </w:rPr>
        <w:t xml:space="preserve"> степень выполнения меропр</w:t>
      </w:r>
      <w:r w:rsidR="002747BC" w:rsidRPr="00E11944">
        <w:rPr>
          <w:bCs/>
          <w:szCs w:val="28"/>
        </w:rPr>
        <w:t>иятий государственной программы.</w:t>
      </w:r>
    </w:p>
    <w:p w:rsidR="00AE727B" w:rsidRPr="00E11944" w:rsidRDefault="00AE727B" w:rsidP="00D30883">
      <w:pPr>
        <w:autoSpaceDE w:val="0"/>
        <w:autoSpaceDN w:val="0"/>
        <w:adjustRightInd w:val="0"/>
        <w:rPr>
          <w:bCs/>
          <w:szCs w:val="28"/>
        </w:rPr>
      </w:pPr>
      <w:r w:rsidRPr="00E11944">
        <w:rPr>
          <w:bCs/>
          <w:szCs w:val="28"/>
        </w:rPr>
        <w:t>Интегральный показатель эффективности реализации государственной программы (ЭГП) рассчитывался по формуле:</w:t>
      </w:r>
    </w:p>
    <w:p w:rsidR="003443E8" w:rsidRPr="00E11944" w:rsidRDefault="003443E8" w:rsidP="00D30883">
      <w:pPr>
        <w:autoSpaceDE w:val="0"/>
        <w:autoSpaceDN w:val="0"/>
        <w:adjustRightInd w:val="0"/>
        <w:rPr>
          <w:bCs/>
          <w:szCs w:val="28"/>
        </w:rPr>
      </w:pPr>
    </w:p>
    <w:p w:rsidR="00AE727B" w:rsidRPr="00E11944" w:rsidRDefault="00AE727B" w:rsidP="00D30883">
      <w:pPr>
        <w:autoSpaceDE w:val="0"/>
        <w:autoSpaceDN w:val="0"/>
        <w:adjustRightInd w:val="0"/>
        <w:rPr>
          <w:bCs/>
          <w:szCs w:val="28"/>
        </w:rPr>
      </w:pPr>
      <w:r w:rsidRPr="00E11944">
        <w:rPr>
          <w:bCs/>
          <w:szCs w:val="28"/>
        </w:rPr>
        <w:t>ЭГП = К1*0,</w:t>
      </w:r>
      <w:r w:rsidR="00834828" w:rsidRPr="00E11944">
        <w:rPr>
          <w:bCs/>
          <w:szCs w:val="28"/>
        </w:rPr>
        <w:t>3</w:t>
      </w:r>
      <w:r w:rsidRPr="00E11944">
        <w:rPr>
          <w:bCs/>
          <w:szCs w:val="28"/>
        </w:rPr>
        <w:t>+</w:t>
      </w:r>
      <w:r w:rsidR="00747694" w:rsidRPr="00E11944">
        <w:rPr>
          <w:bCs/>
          <w:szCs w:val="28"/>
        </w:rPr>
        <w:t>(</w:t>
      </w:r>
      <w:r w:rsidRPr="00E11944">
        <w:rPr>
          <w:bCs/>
          <w:szCs w:val="28"/>
        </w:rPr>
        <w:t>К2</w:t>
      </w:r>
      <w:r w:rsidR="00747694" w:rsidRPr="00E11944">
        <w:rPr>
          <w:bCs/>
          <w:szCs w:val="28"/>
        </w:rPr>
        <w:t>-3%)</w:t>
      </w:r>
      <w:r w:rsidRPr="00E11944">
        <w:rPr>
          <w:bCs/>
          <w:szCs w:val="28"/>
        </w:rPr>
        <w:t>*0,</w:t>
      </w:r>
      <w:r w:rsidR="00747694" w:rsidRPr="00E11944">
        <w:rPr>
          <w:bCs/>
          <w:szCs w:val="28"/>
        </w:rPr>
        <w:t>3</w:t>
      </w:r>
      <w:r w:rsidR="00834828" w:rsidRPr="00E11944">
        <w:rPr>
          <w:bCs/>
          <w:szCs w:val="28"/>
        </w:rPr>
        <w:t>5+К3*0,35</w:t>
      </w:r>
      <w:r w:rsidRPr="00E11944">
        <w:rPr>
          <w:bCs/>
          <w:szCs w:val="28"/>
        </w:rPr>
        <w:t>.</w:t>
      </w:r>
    </w:p>
    <w:p w:rsidR="003443E8" w:rsidRPr="00E11944" w:rsidRDefault="003443E8" w:rsidP="00D30883">
      <w:pPr>
        <w:autoSpaceDE w:val="0"/>
        <w:autoSpaceDN w:val="0"/>
        <w:adjustRightInd w:val="0"/>
        <w:rPr>
          <w:bCs/>
          <w:szCs w:val="28"/>
        </w:rPr>
      </w:pPr>
    </w:p>
    <w:p w:rsidR="00AE727B" w:rsidRPr="00E11944" w:rsidRDefault="00AE727B" w:rsidP="00D30883">
      <w:pPr>
        <w:autoSpaceDE w:val="0"/>
        <w:autoSpaceDN w:val="0"/>
        <w:adjustRightInd w:val="0"/>
        <w:rPr>
          <w:bCs/>
          <w:szCs w:val="28"/>
        </w:rPr>
      </w:pPr>
      <w:r w:rsidRPr="00E11944">
        <w:rPr>
          <w:bCs/>
          <w:szCs w:val="28"/>
        </w:rPr>
        <w:t>Государственная программа считается реализуемой:</w:t>
      </w:r>
    </w:p>
    <w:p w:rsidR="00AE727B" w:rsidRPr="00E11944" w:rsidRDefault="00AE727B" w:rsidP="00D30883">
      <w:pPr>
        <w:numPr>
          <w:ilvl w:val="0"/>
          <w:numId w:val="8"/>
        </w:numPr>
        <w:tabs>
          <w:tab w:val="left" w:pos="993"/>
        </w:tabs>
        <w:autoSpaceDE w:val="0"/>
        <w:autoSpaceDN w:val="0"/>
        <w:adjustRightInd w:val="0"/>
        <w:ind w:left="0" w:firstLine="709"/>
        <w:rPr>
          <w:bCs/>
          <w:szCs w:val="28"/>
        </w:rPr>
      </w:pPr>
      <w:r w:rsidRPr="00E11944">
        <w:rPr>
          <w:bCs/>
          <w:szCs w:val="28"/>
        </w:rPr>
        <w:t>с высоким уровнем эффективности, если значение ЭГП составляет не менее 9</w:t>
      </w:r>
      <w:r w:rsidR="00D30883" w:rsidRPr="00E11944">
        <w:rPr>
          <w:bCs/>
          <w:szCs w:val="28"/>
        </w:rPr>
        <w:t>7</w:t>
      </w:r>
      <w:r w:rsidRPr="00E11944">
        <w:rPr>
          <w:bCs/>
          <w:szCs w:val="28"/>
        </w:rPr>
        <w:t>%;</w:t>
      </w:r>
    </w:p>
    <w:p w:rsidR="00AE727B" w:rsidRPr="00E11944" w:rsidRDefault="00AE727B" w:rsidP="00D30883">
      <w:pPr>
        <w:numPr>
          <w:ilvl w:val="0"/>
          <w:numId w:val="8"/>
        </w:numPr>
        <w:tabs>
          <w:tab w:val="left" w:pos="993"/>
        </w:tabs>
        <w:autoSpaceDE w:val="0"/>
        <w:autoSpaceDN w:val="0"/>
        <w:adjustRightInd w:val="0"/>
        <w:ind w:left="0" w:firstLine="709"/>
        <w:rPr>
          <w:bCs/>
          <w:szCs w:val="28"/>
        </w:rPr>
      </w:pPr>
      <w:r w:rsidRPr="00E11944">
        <w:rPr>
          <w:bCs/>
          <w:szCs w:val="28"/>
        </w:rPr>
        <w:t xml:space="preserve">со средним уровнем эффективности, если значение ЭГП составляет не менее </w:t>
      </w:r>
      <w:r w:rsidR="00D30883" w:rsidRPr="00E11944">
        <w:rPr>
          <w:bCs/>
          <w:szCs w:val="28"/>
        </w:rPr>
        <w:t>92</w:t>
      </w:r>
      <w:r w:rsidRPr="00E11944">
        <w:rPr>
          <w:bCs/>
          <w:szCs w:val="28"/>
        </w:rPr>
        <w:t>%;</w:t>
      </w:r>
    </w:p>
    <w:p w:rsidR="00D30883" w:rsidRPr="00E11944" w:rsidRDefault="00D30883" w:rsidP="00D30883">
      <w:pPr>
        <w:numPr>
          <w:ilvl w:val="0"/>
          <w:numId w:val="8"/>
        </w:numPr>
        <w:tabs>
          <w:tab w:val="left" w:pos="993"/>
        </w:tabs>
        <w:autoSpaceDE w:val="0"/>
        <w:autoSpaceDN w:val="0"/>
        <w:adjustRightInd w:val="0"/>
        <w:ind w:left="0" w:firstLine="709"/>
        <w:rPr>
          <w:bCs/>
          <w:szCs w:val="28"/>
        </w:rPr>
      </w:pPr>
      <w:r w:rsidRPr="00E11944">
        <w:rPr>
          <w:bCs/>
          <w:szCs w:val="28"/>
        </w:rPr>
        <w:t>с уровнем эффективности ниже среднего, если значение ЭГП составляет не менее 85%;</w:t>
      </w:r>
    </w:p>
    <w:p w:rsidR="00AE727B" w:rsidRPr="00E11944" w:rsidRDefault="00AE727B" w:rsidP="00D30883">
      <w:pPr>
        <w:numPr>
          <w:ilvl w:val="0"/>
          <w:numId w:val="8"/>
        </w:numPr>
        <w:tabs>
          <w:tab w:val="left" w:pos="993"/>
        </w:tabs>
        <w:autoSpaceDE w:val="0"/>
        <w:autoSpaceDN w:val="0"/>
        <w:adjustRightInd w:val="0"/>
        <w:ind w:left="0" w:firstLine="709"/>
        <w:rPr>
          <w:bCs/>
          <w:szCs w:val="28"/>
        </w:rPr>
      </w:pPr>
      <w:r w:rsidRPr="00E11944">
        <w:rPr>
          <w:bCs/>
          <w:szCs w:val="28"/>
        </w:rPr>
        <w:t>с низким уровнем эффективности, если значение ЭГП ниже 8</w:t>
      </w:r>
      <w:r w:rsidR="00D30883" w:rsidRPr="00E11944">
        <w:rPr>
          <w:bCs/>
          <w:szCs w:val="28"/>
        </w:rPr>
        <w:t>5</w:t>
      </w:r>
      <w:r w:rsidRPr="00E11944">
        <w:rPr>
          <w:bCs/>
          <w:szCs w:val="28"/>
        </w:rPr>
        <w:t>%.</w:t>
      </w:r>
    </w:p>
    <w:p w:rsidR="00E63BF7" w:rsidRPr="00E11944" w:rsidRDefault="00E63BF7" w:rsidP="001E2CB8">
      <w:pPr>
        <w:autoSpaceDE w:val="0"/>
        <w:autoSpaceDN w:val="0"/>
        <w:adjustRightInd w:val="0"/>
        <w:rPr>
          <w:szCs w:val="28"/>
        </w:rPr>
      </w:pPr>
      <w:r w:rsidRPr="00E11944">
        <w:rPr>
          <w:szCs w:val="28"/>
        </w:rPr>
        <w:t xml:space="preserve">Результаты оценки эффективности </w:t>
      </w:r>
      <w:r w:rsidR="003F33E7" w:rsidRPr="00E11944">
        <w:rPr>
          <w:szCs w:val="28"/>
        </w:rPr>
        <w:t xml:space="preserve">реализации </w:t>
      </w:r>
      <w:r w:rsidRPr="00E11944">
        <w:rPr>
          <w:szCs w:val="28"/>
        </w:rPr>
        <w:t xml:space="preserve">государственных программ </w:t>
      </w:r>
      <w:r w:rsidR="003F33E7" w:rsidRPr="00E11944">
        <w:rPr>
          <w:szCs w:val="28"/>
        </w:rPr>
        <w:t>в 201</w:t>
      </w:r>
      <w:r w:rsidR="001E2CB8" w:rsidRPr="00E11944">
        <w:rPr>
          <w:szCs w:val="28"/>
        </w:rPr>
        <w:t>9</w:t>
      </w:r>
      <w:r w:rsidR="003F33E7" w:rsidRPr="00E11944">
        <w:rPr>
          <w:szCs w:val="28"/>
        </w:rPr>
        <w:t xml:space="preserve"> году</w:t>
      </w:r>
      <w:r w:rsidRPr="00E11944">
        <w:rPr>
          <w:szCs w:val="28"/>
        </w:rPr>
        <w:t xml:space="preserve"> представлены в приложении №</w:t>
      </w:r>
      <w:r w:rsidR="00BB7435" w:rsidRPr="00E11944">
        <w:rPr>
          <w:szCs w:val="28"/>
        </w:rPr>
        <w:t xml:space="preserve"> </w:t>
      </w:r>
      <w:r w:rsidRPr="00E11944">
        <w:rPr>
          <w:szCs w:val="28"/>
        </w:rPr>
        <w:t>4.</w:t>
      </w:r>
    </w:p>
    <w:p w:rsidR="005A5B71" w:rsidRPr="00E11944" w:rsidRDefault="007C23AE" w:rsidP="001E2CB8">
      <w:pPr>
        <w:autoSpaceDE w:val="0"/>
        <w:autoSpaceDN w:val="0"/>
        <w:adjustRightInd w:val="0"/>
        <w:rPr>
          <w:szCs w:val="28"/>
        </w:rPr>
      </w:pPr>
      <w:r w:rsidRPr="00E11944">
        <w:rPr>
          <w:szCs w:val="28"/>
        </w:rPr>
        <w:t>Из 1</w:t>
      </w:r>
      <w:r w:rsidR="00BB7435" w:rsidRPr="00E11944">
        <w:rPr>
          <w:szCs w:val="28"/>
        </w:rPr>
        <w:t>6</w:t>
      </w:r>
      <w:r w:rsidRPr="00E11944">
        <w:rPr>
          <w:szCs w:val="28"/>
        </w:rPr>
        <w:t xml:space="preserve"> </w:t>
      </w:r>
      <w:r w:rsidR="00A20E1A" w:rsidRPr="00E11944">
        <w:rPr>
          <w:szCs w:val="28"/>
        </w:rPr>
        <w:t xml:space="preserve">государственных программ Мурманской области высокую оценку </w:t>
      </w:r>
      <w:r w:rsidR="003F33E7" w:rsidRPr="00E11944">
        <w:rPr>
          <w:szCs w:val="28"/>
        </w:rPr>
        <w:t xml:space="preserve">получили </w:t>
      </w:r>
      <w:r w:rsidR="00D2347C" w:rsidRPr="00E11944">
        <w:rPr>
          <w:szCs w:val="28"/>
        </w:rPr>
        <w:t>3</w:t>
      </w:r>
      <w:r w:rsidR="00643F33" w:rsidRPr="00E11944">
        <w:rPr>
          <w:szCs w:val="28"/>
        </w:rPr>
        <w:t xml:space="preserve"> (Таблица 2</w:t>
      </w:r>
      <w:r w:rsidR="00A20E1A" w:rsidRPr="00E11944">
        <w:rPr>
          <w:szCs w:val="28"/>
        </w:rPr>
        <w:t>)</w:t>
      </w:r>
      <w:r w:rsidRPr="00E11944">
        <w:rPr>
          <w:szCs w:val="28"/>
        </w:rPr>
        <w:t>:</w:t>
      </w:r>
    </w:p>
    <w:p w:rsidR="001E2CB8" w:rsidRPr="00E11944" w:rsidRDefault="001E2CB8" w:rsidP="001E2CB8">
      <w:pPr>
        <w:numPr>
          <w:ilvl w:val="0"/>
          <w:numId w:val="13"/>
        </w:numPr>
        <w:tabs>
          <w:tab w:val="left" w:pos="993"/>
        </w:tabs>
        <w:autoSpaceDE w:val="0"/>
        <w:autoSpaceDN w:val="0"/>
        <w:adjustRightInd w:val="0"/>
        <w:ind w:left="0" w:firstLine="709"/>
        <w:rPr>
          <w:szCs w:val="28"/>
        </w:rPr>
      </w:pPr>
      <w:r w:rsidRPr="00E11944">
        <w:rPr>
          <w:szCs w:val="28"/>
        </w:rPr>
        <w:t>«Формирование современной городской среды Мурманской области» (ЭГП – 100,7%);</w:t>
      </w:r>
    </w:p>
    <w:p w:rsidR="001E2CB8" w:rsidRPr="00E11944" w:rsidRDefault="001E2CB8" w:rsidP="001E2CB8">
      <w:pPr>
        <w:numPr>
          <w:ilvl w:val="0"/>
          <w:numId w:val="13"/>
        </w:numPr>
        <w:tabs>
          <w:tab w:val="left" w:pos="993"/>
        </w:tabs>
        <w:autoSpaceDE w:val="0"/>
        <w:autoSpaceDN w:val="0"/>
        <w:adjustRightInd w:val="0"/>
        <w:ind w:left="0" w:firstLine="709"/>
        <w:rPr>
          <w:szCs w:val="28"/>
        </w:rPr>
      </w:pPr>
      <w:r w:rsidRPr="00E11944">
        <w:rPr>
          <w:szCs w:val="28"/>
        </w:rPr>
        <w:t>«Государственное управлен</w:t>
      </w:r>
      <w:r w:rsidR="00D15D11" w:rsidRPr="00E11944">
        <w:rPr>
          <w:szCs w:val="28"/>
        </w:rPr>
        <w:t>ие и гражданское общество» (ЭГП </w:t>
      </w:r>
      <w:r w:rsidRPr="00E11944">
        <w:rPr>
          <w:szCs w:val="28"/>
        </w:rPr>
        <w:t>–</w:t>
      </w:r>
      <w:r w:rsidR="00D15D11" w:rsidRPr="00E11944">
        <w:rPr>
          <w:szCs w:val="28"/>
        </w:rPr>
        <w:t> </w:t>
      </w:r>
      <w:r w:rsidRPr="00E11944">
        <w:rPr>
          <w:szCs w:val="28"/>
        </w:rPr>
        <w:t>98,7%);</w:t>
      </w:r>
    </w:p>
    <w:p w:rsidR="001E2CB8" w:rsidRPr="00E11944" w:rsidRDefault="001E2CB8" w:rsidP="001E2CB8">
      <w:pPr>
        <w:numPr>
          <w:ilvl w:val="0"/>
          <w:numId w:val="13"/>
        </w:numPr>
        <w:tabs>
          <w:tab w:val="left" w:pos="993"/>
        </w:tabs>
        <w:autoSpaceDE w:val="0"/>
        <w:autoSpaceDN w:val="0"/>
        <w:adjustRightInd w:val="0"/>
        <w:ind w:left="0" w:firstLine="709"/>
        <w:rPr>
          <w:szCs w:val="28"/>
        </w:rPr>
      </w:pPr>
      <w:r w:rsidRPr="00E11944">
        <w:rPr>
          <w:szCs w:val="28"/>
        </w:rPr>
        <w:t>«Управление региональными финансами, создание условий для эффективного и ответственного управления муниципа</w:t>
      </w:r>
      <w:r w:rsidR="00530F76" w:rsidRPr="00E11944">
        <w:rPr>
          <w:szCs w:val="28"/>
        </w:rPr>
        <w:t>льными финансами» (ЭГП – 97,</w:t>
      </w:r>
      <w:r w:rsidR="00B65B08" w:rsidRPr="00E11944">
        <w:rPr>
          <w:szCs w:val="28"/>
        </w:rPr>
        <w:t>9</w:t>
      </w:r>
      <w:r w:rsidR="00530F76" w:rsidRPr="00E11944">
        <w:rPr>
          <w:szCs w:val="28"/>
        </w:rPr>
        <w:t>%).</w:t>
      </w:r>
    </w:p>
    <w:p w:rsidR="00530F76" w:rsidRPr="00E11944" w:rsidRDefault="00556361" w:rsidP="001E2CB8">
      <w:pPr>
        <w:autoSpaceDE w:val="0"/>
        <w:autoSpaceDN w:val="0"/>
        <w:adjustRightInd w:val="0"/>
        <w:rPr>
          <w:szCs w:val="28"/>
        </w:rPr>
      </w:pPr>
      <w:r w:rsidRPr="00E11944">
        <w:rPr>
          <w:szCs w:val="28"/>
        </w:rPr>
        <w:t xml:space="preserve">Средняя эффективность отмечается у </w:t>
      </w:r>
      <w:r w:rsidR="00530F76" w:rsidRPr="00E11944">
        <w:rPr>
          <w:szCs w:val="28"/>
        </w:rPr>
        <w:t>9</w:t>
      </w:r>
      <w:r w:rsidR="007C23AE" w:rsidRPr="00E11944">
        <w:rPr>
          <w:szCs w:val="28"/>
        </w:rPr>
        <w:t xml:space="preserve"> </w:t>
      </w:r>
      <w:r w:rsidRPr="00E11944">
        <w:rPr>
          <w:szCs w:val="28"/>
        </w:rPr>
        <w:t>программ</w:t>
      </w:r>
      <w:r w:rsidR="007C23AE" w:rsidRPr="00E11944">
        <w:rPr>
          <w:szCs w:val="28"/>
        </w:rPr>
        <w:t>:</w:t>
      </w:r>
      <w:r w:rsidR="005A5B71" w:rsidRPr="00E11944">
        <w:rPr>
          <w:szCs w:val="28"/>
        </w:rPr>
        <w:t xml:space="preserve"> </w:t>
      </w:r>
    </w:p>
    <w:p w:rsidR="00530F76" w:rsidRPr="00E11944" w:rsidRDefault="00530F76" w:rsidP="001E2CB8">
      <w:pPr>
        <w:autoSpaceDE w:val="0"/>
        <w:autoSpaceDN w:val="0"/>
        <w:adjustRightInd w:val="0"/>
        <w:rPr>
          <w:szCs w:val="28"/>
        </w:rPr>
      </w:pPr>
      <w:r w:rsidRPr="00E11944">
        <w:rPr>
          <w:szCs w:val="28"/>
        </w:rPr>
        <w:t>- «Развитие здравоохранения» (ЭГП – 96,6%);</w:t>
      </w:r>
    </w:p>
    <w:p w:rsidR="00530F76" w:rsidRPr="00E11944" w:rsidRDefault="00530F76" w:rsidP="001E2CB8">
      <w:pPr>
        <w:autoSpaceDE w:val="0"/>
        <w:autoSpaceDN w:val="0"/>
        <w:adjustRightInd w:val="0"/>
        <w:rPr>
          <w:szCs w:val="28"/>
        </w:rPr>
      </w:pPr>
      <w:r w:rsidRPr="00E11944">
        <w:rPr>
          <w:szCs w:val="28"/>
        </w:rPr>
        <w:t>- «Управление развитием регионального рынка труда» (ЭГП – 96,5%);</w:t>
      </w:r>
    </w:p>
    <w:p w:rsidR="00530F76" w:rsidRPr="00E11944" w:rsidRDefault="00530F76" w:rsidP="001E2CB8">
      <w:pPr>
        <w:autoSpaceDE w:val="0"/>
        <w:autoSpaceDN w:val="0"/>
        <w:adjustRightInd w:val="0"/>
        <w:rPr>
          <w:szCs w:val="28"/>
        </w:rPr>
      </w:pPr>
      <w:r w:rsidRPr="00E11944">
        <w:rPr>
          <w:szCs w:val="28"/>
        </w:rPr>
        <w:t>- «Информационное общество» (ЭГП – 96,2%);</w:t>
      </w:r>
    </w:p>
    <w:p w:rsidR="00530F76" w:rsidRPr="00E11944" w:rsidRDefault="00530F76" w:rsidP="001E2CB8">
      <w:pPr>
        <w:autoSpaceDE w:val="0"/>
        <w:autoSpaceDN w:val="0"/>
        <w:adjustRightInd w:val="0"/>
        <w:rPr>
          <w:szCs w:val="28"/>
        </w:rPr>
      </w:pPr>
      <w:r w:rsidRPr="00E11944">
        <w:rPr>
          <w:szCs w:val="28"/>
        </w:rPr>
        <w:t>- «Развитие культуры и сохранение культурного наследия региона» (ЭГП – 95,8%);</w:t>
      </w:r>
    </w:p>
    <w:p w:rsidR="00530F76" w:rsidRPr="00E11944" w:rsidRDefault="00530F76" w:rsidP="001E2CB8">
      <w:pPr>
        <w:autoSpaceDE w:val="0"/>
        <w:autoSpaceDN w:val="0"/>
        <w:adjustRightInd w:val="0"/>
        <w:rPr>
          <w:szCs w:val="28"/>
        </w:rPr>
      </w:pPr>
      <w:r w:rsidRPr="00E11944">
        <w:rPr>
          <w:szCs w:val="28"/>
        </w:rPr>
        <w:t>- «Развитие т</w:t>
      </w:r>
      <w:r w:rsidR="009F2533" w:rsidRPr="00E11944">
        <w:rPr>
          <w:szCs w:val="28"/>
        </w:rPr>
        <w:t>ранспортной системы» (ЭГП – 94,5</w:t>
      </w:r>
      <w:r w:rsidRPr="00E11944">
        <w:rPr>
          <w:szCs w:val="28"/>
        </w:rPr>
        <w:t>%);</w:t>
      </w:r>
    </w:p>
    <w:p w:rsidR="00530F76" w:rsidRPr="00E11944" w:rsidRDefault="00530F76" w:rsidP="001E2CB8">
      <w:pPr>
        <w:autoSpaceDE w:val="0"/>
        <w:autoSpaceDN w:val="0"/>
        <w:adjustRightInd w:val="0"/>
        <w:rPr>
          <w:szCs w:val="28"/>
        </w:rPr>
      </w:pPr>
      <w:r w:rsidRPr="00E11944">
        <w:rPr>
          <w:szCs w:val="28"/>
        </w:rPr>
        <w:t>- «Социальная поддержка граждан» (ЭГП – 94,</w:t>
      </w:r>
      <w:r w:rsidR="009F2533" w:rsidRPr="00E11944">
        <w:rPr>
          <w:szCs w:val="28"/>
        </w:rPr>
        <w:t>7</w:t>
      </w:r>
      <w:r w:rsidRPr="00E11944">
        <w:rPr>
          <w:szCs w:val="28"/>
        </w:rPr>
        <w:t>%);</w:t>
      </w:r>
    </w:p>
    <w:p w:rsidR="00530F76" w:rsidRPr="00E11944" w:rsidRDefault="00530F76" w:rsidP="001E2CB8">
      <w:pPr>
        <w:autoSpaceDE w:val="0"/>
        <w:autoSpaceDN w:val="0"/>
        <w:adjustRightInd w:val="0"/>
        <w:rPr>
          <w:szCs w:val="28"/>
        </w:rPr>
      </w:pPr>
      <w:r w:rsidRPr="00E11944">
        <w:rPr>
          <w:szCs w:val="28"/>
        </w:rPr>
        <w:t>- «Обеспечение общественного порядка и безопасности населения региона» (ЭГП – 94,5%);</w:t>
      </w:r>
    </w:p>
    <w:p w:rsidR="00530F76" w:rsidRPr="00E11944" w:rsidRDefault="00530F76" w:rsidP="001E2CB8">
      <w:pPr>
        <w:autoSpaceDE w:val="0"/>
        <w:autoSpaceDN w:val="0"/>
        <w:adjustRightInd w:val="0"/>
        <w:rPr>
          <w:szCs w:val="28"/>
        </w:rPr>
      </w:pPr>
      <w:r w:rsidRPr="00E11944">
        <w:rPr>
          <w:szCs w:val="28"/>
        </w:rPr>
        <w:lastRenderedPageBreak/>
        <w:t>- «Развитие экономического потенциала и формирование благоприятного предпринимательского климата» (ЭГП – 94,2%);</w:t>
      </w:r>
    </w:p>
    <w:p w:rsidR="007C23AE" w:rsidRPr="00E11944" w:rsidRDefault="00530F76" w:rsidP="001E2CB8">
      <w:pPr>
        <w:autoSpaceDE w:val="0"/>
        <w:autoSpaceDN w:val="0"/>
        <w:adjustRightInd w:val="0"/>
        <w:rPr>
          <w:szCs w:val="28"/>
        </w:rPr>
      </w:pPr>
      <w:r w:rsidRPr="00E11944">
        <w:rPr>
          <w:szCs w:val="28"/>
        </w:rPr>
        <w:t xml:space="preserve">- </w:t>
      </w:r>
      <w:r w:rsidR="00B85DFF" w:rsidRPr="00E11944">
        <w:rPr>
          <w:szCs w:val="28"/>
        </w:rPr>
        <w:t>«</w:t>
      </w:r>
      <w:r w:rsidR="00DC170F" w:rsidRPr="00E11944">
        <w:rPr>
          <w:szCs w:val="28"/>
        </w:rPr>
        <w:t>Развитие образования</w:t>
      </w:r>
      <w:r w:rsidR="00B85DFF" w:rsidRPr="00E11944">
        <w:rPr>
          <w:szCs w:val="28"/>
        </w:rPr>
        <w:t xml:space="preserve">» (ЭГП – </w:t>
      </w:r>
      <w:r w:rsidR="009F2533" w:rsidRPr="00E11944">
        <w:rPr>
          <w:szCs w:val="28"/>
        </w:rPr>
        <w:t>93,6</w:t>
      </w:r>
      <w:r w:rsidRPr="00E11944">
        <w:rPr>
          <w:szCs w:val="28"/>
        </w:rPr>
        <w:t>%).</w:t>
      </w:r>
    </w:p>
    <w:p w:rsidR="00AE7602" w:rsidRPr="00E11944" w:rsidRDefault="00AE7602" w:rsidP="001E2CB8">
      <w:pPr>
        <w:autoSpaceDE w:val="0"/>
        <w:autoSpaceDN w:val="0"/>
        <w:adjustRightInd w:val="0"/>
        <w:rPr>
          <w:szCs w:val="28"/>
        </w:rPr>
      </w:pPr>
    </w:p>
    <w:p w:rsidR="007C23AE" w:rsidRPr="00E11944" w:rsidRDefault="006B65A7" w:rsidP="007C23AE">
      <w:pPr>
        <w:autoSpaceDE w:val="0"/>
        <w:autoSpaceDN w:val="0"/>
        <w:adjustRightInd w:val="0"/>
        <w:rPr>
          <w:szCs w:val="28"/>
        </w:rPr>
      </w:pPr>
      <w:r w:rsidRPr="00E11944">
        <w:rPr>
          <w:szCs w:val="28"/>
        </w:rPr>
        <w:t>Н</w:t>
      </w:r>
      <w:r w:rsidR="007C23AE" w:rsidRPr="00E11944">
        <w:rPr>
          <w:szCs w:val="28"/>
        </w:rPr>
        <w:t xml:space="preserve">едостижение </w:t>
      </w:r>
      <w:r w:rsidR="002227AE" w:rsidRPr="00E11944">
        <w:rPr>
          <w:szCs w:val="28"/>
        </w:rPr>
        <w:t>целевых</w:t>
      </w:r>
      <w:r w:rsidR="007C23AE" w:rsidRPr="00E11944">
        <w:rPr>
          <w:szCs w:val="28"/>
        </w:rPr>
        <w:t xml:space="preserve"> значений показателей, а также </w:t>
      </w:r>
      <w:r w:rsidR="0086680D" w:rsidRPr="00E11944">
        <w:rPr>
          <w:szCs w:val="28"/>
        </w:rPr>
        <w:t>невыполнение всех запланированных мероприятий в установленные сроки не позволило указанным программам достичь высокого уровня эффективности.</w:t>
      </w:r>
    </w:p>
    <w:p w:rsidR="005B1778" w:rsidRPr="00E11944" w:rsidRDefault="00AE7602" w:rsidP="00BC07D3">
      <w:pPr>
        <w:autoSpaceDE w:val="0"/>
        <w:autoSpaceDN w:val="0"/>
        <w:adjustRightInd w:val="0"/>
        <w:rPr>
          <w:szCs w:val="28"/>
        </w:rPr>
      </w:pPr>
      <w:r w:rsidRPr="00E11944">
        <w:rPr>
          <w:szCs w:val="28"/>
        </w:rPr>
        <w:t>4</w:t>
      </w:r>
      <w:r w:rsidR="007F3AAF" w:rsidRPr="00E11944">
        <w:rPr>
          <w:szCs w:val="28"/>
        </w:rPr>
        <w:t xml:space="preserve"> программы</w:t>
      </w:r>
      <w:r w:rsidR="003443E8" w:rsidRPr="00E11944">
        <w:rPr>
          <w:szCs w:val="28"/>
        </w:rPr>
        <w:t xml:space="preserve"> реализованы</w:t>
      </w:r>
      <w:r w:rsidR="007F3AAF" w:rsidRPr="00E11944">
        <w:rPr>
          <w:szCs w:val="28"/>
        </w:rPr>
        <w:t xml:space="preserve"> с уровнем эффективности ниже среднего:</w:t>
      </w:r>
      <w:r w:rsidR="00BC07D3" w:rsidRPr="00E11944">
        <w:rPr>
          <w:szCs w:val="28"/>
        </w:rPr>
        <w:t xml:space="preserve"> </w:t>
      </w:r>
    </w:p>
    <w:p w:rsidR="005B1778" w:rsidRPr="00E11944" w:rsidRDefault="005B1778" w:rsidP="00BC07D3">
      <w:pPr>
        <w:autoSpaceDE w:val="0"/>
        <w:autoSpaceDN w:val="0"/>
        <w:adjustRightInd w:val="0"/>
        <w:rPr>
          <w:szCs w:val="28"/>
        </w:rPr>
      </w:pPr>
      <w:r w:rsidRPr="00E11944">
        <w:rPr>
          <w:szCs w:val="28"/>
        </w:rPr>
        <w:t>- </w:t>
      </w:r>
      <w:r w:rsidRPr="00E11944">
        <w:t>«</w:t>
      </w:r>
      <w:r w:rsidRPr="00E11944">
        <w:rPr>
          <w:szCs w:val="28"/>
        </w:rPr>
        <w:t>Развитие рыбного и сельского хозяйства, регулирование рынков сельскохозяйственной продукции, сырья и продовольствия» (ЭГП - 91,1%);</w:t>
      </w:r>
    </w:p>
    <w:p w:rsidR="005B1778" w:rsidRPr="00E11944" w:rsidRDefault="005B1778" w:rsidP="00BC07D3">
      <w:pPr>
        <w:autoSpaceDE w:val="0"/>
        <w:autoSpaceDN w:val="0"/>
        <w:adjustRightInd w:val="0"/>
        <w:rPr>
          <w:szCs w:val="28"/>
        </w:rPr>
      </w:pPr>
      <w:r w:rsidRPr="00E11944">
        <w:rPr>
          <w:szCs w:val="28"/>
        </w:rPr>
        <w:t>- «Развитие физической культуры и спорта» (ЭГП – 91%);</w:t>
      </w:r>
    </w:p>
    <w:p w:rsidR="005B1778" w:rsidRPr="00E11944" w:rsidRDefault="005B1778" w:rsidP="00BC07D3">
      <w:pPr>
        <w:autoSpaceDE w:val="0"/>
        <w:autoSpaceDN w:val="0"/>
        <w:adjustRightInd w:val="0"/>
        <w:rPr>
          <w:szCs w:val="28"/>
        </w:rPr>
      </w:pPr>
      <w:r w:rsidRPr="00E11944">
        <w:rPr>
          <w:szCs w:val="28"/>
        </w:rPr>
        <w:t>- «Охрана окружающей среды и воспроизводство природных ресурсов» (ЭГП – 89,</w:t>
      </w:r>
      <w:r w:rsidR="00BB7BD6" w:rsidRPr="00E11944">
        <w:rPr>
          <w:szCs w:val="28"/>
        </w:rPr>
        <w:t>5</w:t>
      </w:r>
      <w:r w:rsidRPr="00E11944">
        <w:rPr>
          <w:szCs w:val="28"/>
        </w:rPr>
        <w:t>%);</w:t>
      </w:r>
    </w:p>
    <w:p w:rsidR="00B85DFF" w:rsidRPr="00E11944" w:rsidRDefault="005B1778" w:rsidP="00BC07D3">
      <w:pPr>
        <w:autoSpaceDE w:val="0"/>
        <w:autoSpaceDN w:val="0"/>
        <w:adjustRightInd w:val="0"/>
        <w:rPr>
          <w:szCs w:val="28"/>
        </w:rPr>
      </w:pPr>
      <w:r w:rsidRPr="00E11944">
        <w:rPr>
          <w:szCs w:val="28"/>
        </w:rPr>
        <w:t>- </w:t>
      </w:r>
      <w:r w:rsidR="003443E8" w:rsidRPr="00E11944">
        <w:rPr>
          <w:szCs w:val="28"/>
        </w:rPr>
        <w:t>«</w:t>
      </w:r>
      <w:r w:rsidR="00AE7602" w:rsidRPr="00E11944">
        <w:rPr>
          <w:szCs w:val="28"/>
        </w:rPr>
        <w:t>Обеспечение комфортной среды проживания населения региона</w:t>
      </w:r>
      <w:r w:rsidR="003443E8" w:rsidRPr="00E11944">
        <w:rPr>
          <w:szCs w:val="28"/>
        </w:rPr>
        <w:t>»</w:t>
      </w:r>
      <w:r w:rsidR="007F3AAF" w:rsidRPr="00E11944">
        <w:rPr>
          <w:szCs w:val="28"/>
        </w:rPr>
        <w:t xml:space="preserve"> (ЭГП</w:t>
      </w:r>
      <w:r w:rsidRPr="00E11944">
        <w:rPr>
          <w:szCs w:val="28"/>
        </w:rPr>
        <w:t> </w:t>
      </w:r>
      <w:r w:rsidR="007F3AAF" w:rsidRPr="00E11944">
        <w:rPr>
          <w:szCs w:val="28"/>
        </w:rPr>
        <w:t xml:space="preserve">– </w:t>
      </w:r>
      <w:r w:rsidR="00BB7BD6" w:rsidRPr="00E11944">
        <w:rPr>
          <w:szCs w:val="28"/>
        </w:rPr>
        <w:t>90,2</w:t>
      </w:r>
      <w:r w:rsidR="007F3AAF" w:rsidRPr="00E11944">
        <w:rPr>
          <w:szCs w:val="28"/>
        </w:rPr>
        <w:t>%)</w:t>
      </w:r>
      <w:r w:rsidRPr="00E11944">
        <w:rPr>
          <w:szCs w:val="28"/>
        </w:rPr>
        <w:t>.</w:t>
      </w:r>
    </w:p>
    <w:p w:rsidR="00AE7602" w:rsidRDefault="00AE7602" w:rsidP="00BC07D3">
      <w:pPr>
        <w:tabs>
          <w:tab w:val="left" w:pos="993"/>
        </w:tabs>
        <w:autoSpaceDE w:val="0"/>
        <w:autoSpaceDN w:val="0"/>
        <w:adjustRightInd w:val="0"/>
        <w:rPr>
          <w:szCs w:val="28"/>
        </w:rPr>
      </w:pPr>
      <w:r w:rsidRPr="00E11944">
        <w:rPr>
          <w:szCs w:val="28"/>
        </w:rPr>
        <w:t>Н</w:t>
      </w:r>
      <w:r w:rsidR="00BC07D3" w:rsidRPr="00E11944">
        <w:rPr>
          <w:szCs w:val="28"/>
        </w:rPr>
        <w:t>изки</w:t>
      </w:r>
      <w:r w:rsidRPr="00E11944">
        <w:rPr>
          <w:szCs w:val="28"/>
        </w:rPr>
        <w:t>й</w:t>
      </w:r>
      <w:r w:rsidR="00BC07D3" w:rsidRPr="00E11944">
        <w:rPr>
          <w:szCs w:val="28"/>
        </w:rPr>
        <w:t xml:space="preserve"> уров</w:t>
      </w:r>
      <w:r w:rsidRPr="00E11944">
        <w:rPr>
          <w:szCs w:val="28"/>
        </w:rPr>
        <w:t>ень</w:t>
      </w:r>
      <w:r w:rsidR="00BC07D3" w:rsidRPr="00E11944">
        <w:rPr>
          <w:szCs w:val="28"/>
        </w:rPr>
        <w:t xml:space="preserve"> эффективности </w:t>
      </w:r>
      <w:r w:rsidRPr="00E11944">
        <w:rPr>
          <w:szCs w:val="28"/>
        </w:rPr>
        <w:t>не отмечен ни по</w:t>
      </w:r>
      <w:r>
        <w:rPr>
          <w:szCs w:val="28"/>
        </w:rPr>
        <w:t xml:space="preserve"> одной государственной программе.</w:t>
      </w:r>
    </w:p>
    <w:p w:rsidR="00153AE8" w:rsidRDefault="00153AE8" w:rsidP="00597D62">
      <w:pPr>
        <w:jc w:val="right"/>
        <w:rPr>
          <w:sz w:val="24"/>
        </w:rPr>
      </w:pPr>
    </w:p>
    <w:p w:rsidR="00153AE8" w:rsidRDefault="00153AE8" w:rsidP="00597D62">
      <w:pPr>
        <w:jc w:val="right"/>
        <w:rPr>
          <w:sz w:val="24"/>
        </w:rPr>
        <w:sectPr w:rsidR="00153AE8" w:rsidSect="00EC205D">
          <w:headerReference w:type="default" r:id="rId14"/>
          <w:pgSz w:w="11906" w:h="16838"/>
          <w:pgMar w:top="1134" w:right="851" w:bottom="1134" w:left="1418" w:header="709" w:footer="709" w:gutter="0"/>
          <w:cols w:space="708"/>
          <w:docGrid w:linePitch="360"/>
        </w:sectPr>
      </w:pPr>
    </w:p>
    <w:p w:rsidR="00597D62" w:rsidRDefault="00597D62" w:rsidP="00721C22">
      <w:pPr>
        <w:ind w:right="-598"/>
        <w:jc w:val="right"/>
        <w:rPr>
          <w:sz w:val="24"/>
        </w:rPr>
      </w:pPr>
      <w:r w:rsidRPr="00252F01">
        <w:rPr>
          <w:sz w:val="24"/>
        </w:rPr>
        <w:lastRenderedPageBreak/>
        <w:t>Таблица 2</w:t>
      </w:r>
    </w:p>
    <w:p w:rsidR="00A874FD" w:rsidRPr="00597D62" w:rsidRDefault="00A874FD" w:rsidP="00597D62">
      <w:pPr>
        <w:jc w:val="right"/>
        <w:rPr>
          <w:sz w:val="24"/>
        </w:rPr>
      </w:pPr>
    </w:p>
    <w:tbl>
      <w:tblPr>
        <w:tblW w:w="1502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tblPr>
      <w:tblGrid>
        <w:gridCol w:w="567"/>
        <w:gridCol w:w="5812"/>
        <w:gridCol w:w="1560"/>
        <w:gridCol w:w="1559"/>
        <w:gridCol w:w="1701"/>
        <w:gridCol w:w="1984"/>
        <w:gridCol w:w="1843"/>
      </w:tblGrid>
      <w:tr w:rsidR="00BC2132" w:rsidRPr="00A874FD" w:rsidTr="00BC2132">
        <w:trPr>
          <w:trHeight w:val="450"/>
        </w:trPr>
        <w:tc>
          <w:tcPr>
            <w:tcW w:w="567" w:type="dxa"/>
            <w:shd w:val="clear" w:color="auto" w:fill="FFFFFF" w:themeFill="background1"/>
          </w:tcPr>
          <w:p w:rsidR="00BC2132" w:rsidRPr="001B4B37" w:rsidRDefault="00BC2132" w:rsidP="00A874FD">
            <w:pPr>
              <w:ind w:firstLine="0"/>
              <w:jc w:val="left"/>
              <w:rPr>
                <w:sz w:val="24"/>
                <w:szCs w:val="24"/>
              </w:rPr>
            </w:pPr>
            <w:r w:rsidRPr="001B4B37">
              <w:rPr>
                <w:sz w:val="24"/>
                <w:szCs w:val="24"/>
              </w:rPr>
              <w:t>№ п/п</w:t>
            </w:r>
          </w:p>
        </w:tc>
        <w:tc>
          <w:tcPr>
            <w:tcW w:w="5812" w:type="dxa"/>
            <w:shd w:val="clear" w:color="auto" w:fill="FFFFFF" w:themeFill="background1"/>
            <w:vAlign w:val="center"/>
          </w:tcPr>
          <w:p w:rsidR="00BC2132" w:rsidRPr="00A874FD" w:rsidRDefault="00BC2132" w:rsidP="00A874FD">
            <w:pPr>
              <w:ind w:firstLine="0"/>
              <w:jc w:val="left"/>
              <w:rPr>
                <w:bCs/>
                <w:sz w:val="24"/>
                <w:szCs w:val="24"/>
              </w:rPr>
            </w:pPr>
            <w:r w:rsidRPr="001B4B37">
              <w:rPr>
                <w:sz w:val="24"/>
                <w:szCs w:val="24"/>
              </w:rPr>
              <w:t>Государственная программа, подпрограмма, ответственный исполнитель</w:t>
            </w:r>
          </w:p>
        </w:tc>
        <w:tc>
          <w:tcPr>
            <w:tcW w:w="1560" w:type="dxa"/>
            <w:shd w:val="clear" w:color="auto" w:fill="FFFFFF" w:themeFill="background1"/>
          </w:tcPr>
          <w:p w:rsidR="00BC2132" w:rsidRDefault="00BC2132" w:rsidP="00A874FD">
            <w:pPr>
              <w:ind w:firstLine="0"/>
              <w:jc w:val="center"/>
              <w:rPr>
                <w:bCs/>
                <w:sz w:val="24"/>
                <w:szCs w:val="24"/>
              </w:rPr>
            </w:pPr>
            <w:r w:rsidRPr="001B4B37">
              <w:rPr>
                <w:bCs/>
                <w:sz w:val="24"/>
                <w:szCs w:val="24"/>
              </w:rPr>
              <w:t xml:space="preserve">К1 </w:t>
            </w:r>
          </w:p>
          <w:p w:rsidR="00BC2132" w:rsidRPr="00A874FD" w:rsidRDefault="00BC2132" w:rsidP="00A874FD">
            <w:pPr>
              <w:ind w:firstLine="0"/>
              <w:jc w:val="center"/>
              <w:rPr>
                <w:bCs/>
                <w:sz w:val="24"/>
                <w:szCs w:val="24"/>
              </w:rPr>
            </w:pPr>
            <w:r w:rsidRPr="001B4B37">
              <w:rPr>
                <w:bCs/>
                <w:sz w:val="24"/>
                <w:szCs w:val="24"/>
              </w:rPr>
              <w:t>(степень достижения показателей)</w:t>
            </w:r>
          </w:p>
        </w:tc>
        <w:tc>
          <w:tcPr>
            <w:tcW w:w="1559" w:type="dxa"/>
            <w:shd w:val="clear" w:color="auto" w:fill="FFFFFF" w:themeFill="background1"/>
          </w:tcPr>
          <w:p w:rsidR="00BC2132" w:rsidRDefault="00BC2132" w:rsidP="00A874FD">
            <w:pPr>
              <w:ind w:firstLine="0"/>
              <w:jc w:val="center"/>
              <w:rPr>
                <w:bCs/>
                <w:sz w:val="24"/>
                <w:szCs w:val="24"/>
              </w:rPr>
            </w:pPr>
            <w:r w:rsidRPr="001B4B37">
              <w:rPr>
                <w:bCs/>
                <w:sz w:val="24"/>
                <w:szCs w:val="24"/>
              </w:rPr>
              <w:t xml:space="preserve">К2 </w:t>
            </w:r>
          </w:p>
          <w:p w:rsidR="00BC2132" w:rsidRPr="00A874FD" w:rsidRDefault="00BC2132" w:rsidP="00A874FD">
            <w:pPr>
              <w:ind w:firstLine="0"/>
              <w:jc w:val="center"/>
              <w:rPr>
                <w:bCs/>
                <w:sz w:val="24"/>
                <w:szCs w:val="24"/>
              </w:rPr>
            </w:pPr>
            <w:r w:rsidRPr="001B4B37">
              <w:rPr>
                <w:bCs/>
                <w:sz w:val="24"/>
                <w:szCs w:val="24"/>
              </w:rPr>
              <w:t>(динамика значений показателей)</w:t>
            </w:r>
          </w:p>
        </w:tc>
        <w:tc>
          <w:tcPr>
            <w:tcW w:w="1701" w:type="dxa"/>
            <w:shd w:val="clear" w:color="auto" w:fill="FFFFFF" w:themeFill="background1"/>
          </w:tcPr>
          <w:p w:rsidR="00BC2132" w:rsidRDefault="00BC2132" w:rsidP="00A874FD">
            <w:pPr>
              <w:ind w:firstLine="0"/>
              <w:jc w:val="center"/>
              <w:rPr>
                <w:bCs/>
                <w:sz w:val="24"/>
                <w:szCs w:val="24"/>
              </w:rPr>
            </w:pPr>
            <w:r w:rsidRPr="001B4B37">
              <w:rPr>
                <w:bCs/>
                <w:sz w:val="24"/>
                <w:szCs w:val="24"/>
              </w:rPr>
              <w:t xml:space="preserve">К3 </w:t>
            </w:r>
          </w:p>
          <w:p w:rsidR="00BC2132" w:rsidRPr="00A874FD" w:rsidRDefault="00BC2132" w:rsidP="00A874FD">
            <w:pPr>
              <w:ind w:firstLine="0"/>
              <w:jc w:val="center"/>
              <w:rPr>
                <w:bCs/>
                <w:sz w:val="24"/>
                <w:szCs w:val="24"/>
              </w:rPr>
            </w:pPr>
            <w:r w:rsidRPr="001B4B37">
              <w:rPr>
                <w:bCs/>
                <w:sz w:val="24"/>
                <w:szCs w:val="24"/>
              </w:rPr>
              <w:t>(степень выполнения мероприятий)</w:t>
            </w:r>
          </w:p>
        </w:tc>
        <w:tc>
          <w:tcPr>
            <w:tcW w:w="1984" w:type="dxa"/>
            <w:shd w:val="clear" w:color="auto" w:fill="FFFFFF" w:themeFill="background1"/>
          </w:tcPr>
          <w:p w:rsidR="00BC2132" w:rsidRPr="00A874FD" w:rsidRDefault="00BC2132" w:rsidP="00A874FD">
            <w:pPr>
              <w:ind w:firstLine="0"/>
              <w:jc w:val="center"/>
              <w:rPr>
                <w:bCs/>
                <w:sz w:val="24"/>
                <w:szCs w:val="24"/>
              </w:rPr>
            </w:pPr>
            <w:r w:rsidRPr="001B4B37">
              <w:rPr>
                <w:bCs/>
                <w:sz w:val="24"/>
                <w:szCs w:val="24"/>
              </w:rPr>
              <w:t>ЭГП (интегральный показатель эффективности)</w:t>
            </w:r>
          </w:p>
        </w:tc>
        <w:tc>
          <w:tcPr>
            <w:tcW w:w="1843" w:type="dxa"/>
            <w:shd w:val="clear" w:color="auto" w:fill="FFFFFF" w:themeFill="background1"/>
          </w:tcPr>
          <w:p w:rsidR="00BC2132" w:rsidRPr="00A874FD" w:rsidRDefault="00BC2132" w:rsidP="00A874FD">
            <w:pPr>
              <w:ind w:firstLine="0"/>
              <w:jc w:val="center"/>
              <w:rPr>
                <w:bCs/>
                <w:sz w:val="24"/>
                <w:szCs w:val="24"/>
              </w:rPr>
            </w:pPr>
            <w:r w:rsidRPr="001B4B37">
              <w:rPr>
                <w:bCs/>
                <w:sz w:val="24"/>
                <w:szCs w:val="24"/>
              </w:rPr>
              <w:t>Оценка</w:t>
            </w:r>
          </w:p>
        </w:tc>
      </w:tr>
      <w:tr w:rsidR="00BC2132" w:rsidRPr="00BC2132" w:rsidTr="00BC213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73"/>
        </w:trPr>
        <w:tc>
          <w:tcPr>
            <w:tcW w:w="567" w:type="dxa"/>
            <w:tcBorders>
              <w:top w:val="single" w:sz="4" w:space="0" w:color="auto"/>
              <w:left w:val="single" w:sz="4" w:space="0" w:color="auto"/>
              <w:bottom w:val="single" w:sz="4" w:space="0" w:color="auto"/>
              <w:right w:val="single" w:sz="4" w:space="0" w:color="auto"/>
            </w:tcBorders>
          </w:tcPr>
          <w:p w:rsidR="00BC2132" w:rsidRPr="00BC2132" w:rsidRDefault="00BC2132" w:rsidP="00BC2132">
            <w:pPr>
              <w:ind w:firstLine="0"/>
              <w:jc w:val="center"/>
              <w:rPr>
                <w:bCs/>
                <w:sz w:val="24"/>
                <w:szCs w:val="24"/>
              </w:rPr>
            </w:pPr>
            <w:r w:rsidRPr="00BC2132">
              <w:rPr>
                <w:bCs/>
                <w:sz w:val="24"/>
                <w:szCs w:val="24"/>
              </w:rPr>
              <w:t>1</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2132" w:rsidRPr="00BC2132" w:rsidRDefault="00BC2132" w:rsidP="00BC2132">
            <w:pPr>
              <w:ind w:firstLine="0"/>
              <w:jc w:val="left"/>
              <w:rPr>
                <w:bCs/>
                <w:sz w:val="22"/>
              </w:rPr>
            </w:pPr>
            <w:r w:rsidRPr="00BC2132">
              <w:rPr>
                <w:bCs/>
                <w:sz w:val="22"/>
              </w:rPr>
              <w:t>«Развитие здравоохранения»</w:t>
            </w:r>
            <w:r w:rsidRPr="00BC2132">
              <w:rPr>
                <w:sz w:val="22"/>
              </w:rPr>
              <w:t xml:space="preserve"> (Минздрав МО)</w:t>
            </w:r>
          </w:p>
        </w:tc>
        <w:tc>
          <w:tcPr>
            <w:tcW w:w="1560" w:type="dxa"/>
            <w:tcBorders>
              <w:top w:val="single" w:sz="4" w:space="0" w:color="auto"/>
              <w:left w:val="nil"/>
              <w:bottom w:val="single" w:sz="4" w:space="0" w:color="auto"/>
              <w:right w:val="single" w:sz="4" w:space="0" w:color="auto"/>
            </w:tcBorders>
            <w:shd w:val="clear" w:color="000000" w:fill="99FF99"/>
            <w:vAlign w:val="center"/>
            <w:hideMark/>
          </w:tcPr>
          <w:p w:rsidR="00BC2132" w:rsidRPr="00BC2132" w:rsidRDefault="00E11944" w:rsidP="00BC2132">
            <w:pPr>
              <w:ind w:firstLine="0"/>
              <w:jc w:val="center"/>
              <w:rPr>
                <w:b/>
                <w:bCs/>
                <w:sz w:val="18"/>
                <w:szCs w:val="18"/>
                <w:u w:val="single"/>
              </w:rPr>
            </w:pPr>
            <w:r>
              <w:rPr>
                <w:b/>
                <w:bCs/>
                <w:sz w:val="18"/>
                <w:szCs w:val="18"/>
                <w:u w:val="single"/>
              </w:rPr>
              <w:t>97,5</w:t>
            </w:r>
            <w:r w:rsidR="00BC2132" w:rsidRPr="00BC2132">
              <w:rPr>
                <w:b/>
                <w:bCs/>
                <w:sz w:val="18"/>
                <w:szCs w:val="18"/>
                <w:u w:val="single"/>
              </w:rPr>
              <w:t>%</w:t>
            </w:r>
          </w:p>
        </w:tc>
        <w:tc>
          <w:tcPr>
            <w:tcW w:w="1559" w:type="dxa"/>
            <w:tcBorders>
              <w:top w:val="single" w:sz="4" w:space="0" w:color="auto"/>
              <w:left w:val="nil"/>
              <w:bottom w:val="single" w:sz="4" w:space="0" w:color="auto"/>
              <w:right w:val="single" w:sz="4" w:space="0" w:color="auto"/>
            </w:tcBorders>
            <w:shd w:val="clear" w:color="000000" w:fill="99FF99"/>
            <w:vAlign w:val="center"/>
            <w:hideMark/>
          </w:tcPr>
          <w:p w:rsidR="00BC2132" w:rsidRPr="00BC2132" w:rsidRDefault="00BC2132" w:rsidP="00BC2132">
            <w:pPr>
              <w:ind w:firstLine="0"/>
              <w:jc w:val="center"/>
              <w:rPr>
                <w:b/>
                <w:bCs/>
                <w:sz w:val="18"/>
                <w:szCs w:val="18"/>
                <w:u w:val="single"/>
              </w:rPr>
            </w:pPr>
            <w:r w:rsidRPr="00BC2132">
              <w:rPr>
                <w:b/>
                <w:bCs/>
                <w:sz w:val="18"/>
                <w:szCs w:val="18"/>
                <w:u w:val="single"/>
              </w:rPr>
              <w:t>103,2%</w:t>
            </w:r>
          </w:p>
        </w:tc>
        <w:tc>
          <w:tcPr>
            <w:tcW w:w="1701" w:type="dxa"/>
            <w:tcBorders>
              <w:top w:val="single" w:sz="4" w:space="0" w:color="auto"/>
              <w:left w:val="nil"/>
              <w:bottom w:val="single" w:sz="4" w:space="0" w:color="auto"/>
              <w:right w:val="single" w:sz="4" w:space="0" w:color="auto"/>
            </w:tcBorders>
            <w:shd w:val="clear" w:color="000000" w:fill="FFFF00"/>
            <w:vAlign w:val="center"/>
            <w:hideMark/>
          </w:tcPr>
          <w:p w:rsidR="00BC2132" w:rsidRPr="00BC2132" w:rsidRDefault="00BC2132" w:rsidP="00BC2132">
            <w:pPr>
              <w:ind w:firstLine="0"/>
              <w:jc w:val="center"/>
              <w:rPr>
                <w:b/>
                <w:bCs/>
                <w:sz w:val="18"/>
                <w:szCs w:val="18"/>
                <w:u w:val="single"/>
              </w:rPr>
            </w:pPr>
            <w:r w:rsidRPr="00BC2132">
              <w:rPr>
                <w:b/>
                <w:bCs/>
                <w:sz w:val="18"/>
                <w:szCs w:val="18"/>
                <w:u w:val="single"/>
              </w:rPr>
              <w:t>92,4%</w:t>
            </w:r>
          </w:p>
        </w:tc>
        <w:tc>
          <w:tcPr>
            <w:tcW w:w="1984" w:type="dxa"/>
            <w:tcBorders>
              <w:top w:val="single" w:sz="4" w:space="0" w:color="auto"/>
              <w:left w:val="nil"/>
              <w:bottom w:val="single" w:sz="4" w:space="0" w:color="auto"/>
              <w:right w:val="single" w:sz="4" w:space="0" w:color="auto"/>
            </w:tcBorders>
            <w:shd w:val="clear" w:color="000000" w:fill="FFFF00"/>
            <w:vAlign w:val="center"/>
            <w:hideMark/>
          </w:tcPr>
          <w:p w:rsidR="00BC2132" w:rsidRPr="00BC2132" w:rsidRDefault="00E11944" w:rsidP="00BC2132">
            <w:pPr>
              <w:ind w:firstLine="0"/>
              <w:jc w:val="center"/>
              <w:rPr>
                <w:b/>
                <w:bCs/>
                <w:sz w:val="18"/>
                <w:szCs w:val="18"/>
                <w:u w:val="single"/>
              </w:rPr>
            </w:pPr>
            <w:r>
              <w:rPr>
                <w:b/>
                <w:bCs/>
                <w:sz w:val="18"/>
                <w:szCs w:val="18"/>
                <w:u w:val="single"/>
              </w:rPr>
              <w:t>96,64</w:t>
            </w:r>
            <w:r w:rsidR="00BC2132" w:rsidRPr="00BC2132">
              <w:rPr>
                <w:b/>
                <w:bCs/>
                <w:sz w:val="18"/>
                <w:szCs w:val="18"/>
                <w:u w:val="single"/>
              </w:rPr>
              <w:t>%</w:t>
            </w:r>
          </w:p>
        </w:tc>
        <w:tc>
          <w:tcPr>
            <w:tcW w:w="1843" w:type="dxa"/>
            <w:tcBorders>
              <w:top w:val="single" w:sz="4" w:space="0" w:color="auto"/>
              <w:left w:val="nil"/>
              <w:bottom w:val="single" w:sz="4" w:space="0" w:color="auto"/>
              <w:right w:val="single" w:sz="4" w:space="0" w:color="auto"/>
            </w:tcBorders>
            <w:shd w:val="clear" w:color="000000" w:fill="FFFF00"/>
            <w:vAlign w:val="center"/>
            <w:hideMark/>
          </w:tcPr>
          <w:p w:rsidR="00BC2132" w:rsidRPr="00BC2132" w:rsidRDefault="00BC2132" w:rsidP="00BC2132">
            <w:pPr>
              <w:ind w:firstLine="0"/>
              <w:jc w:val="center"/>
              <w:rPr>
                <w:b/>
                <w:bCs/>
                <w:sz w:val="18"/>
                <w:szCs w:val="18"/>
                <w:u w:val="single"/>
              </w:rPr>
            </w:pPr>
            <w:r w:rsidRPr="00BC2132">
              <w:rPr>
                <w:b/>
                <w:bCs/>
                <w:sz w:val="18"/>
                <w:szCs w:val="18"/>
                <w:u w:val="single"/>
              </w:rPr>
              <w:t>Средняя</w:t>
            </w:r>
          </w:p>
        </w:tc>
      </w:tr>
      <w:tr w:rsidR="00BC2132" w:rsidRPr="00BC2132" w:rsidTr="00BC213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0"/>
        </w:trPr>
        <w:tc>
          <w:tcPr>
            <w:tcW w:w="567" w:type="dxa"/>
            <w:tcBorders>
              <w:top w:val="nil"/>
              <w:left w:val="single" w:sz="4" w:space="0" w:color="auto"/>
              <w:bottom w:val="single" w:sz="4" w:space="0" w:color="auto"/>
              <w:right w:val="single" w:sz="4" w:space="0" w:color="auto"/>
            </w:tcBorders>
          </w:tcPr>
          <w:p w:rsidR="00BC2132" w:rsidRPr="00BC2132" w:rsidRDefault="00BC2132" w:rsidP="00BC2132">
            <w:pPr>
              <w:ind w:firstLine="0"/>
              <w:jc w:val="center"/>
              <w:rPr>
                <w:bCs/>
                <w:sz w:val="24"/>
                <w:szCs w:val="24"/>
              </w:rPr>
            </w:pPr>
            <w:r w:rsidRPr="00BC2132">
              <w:rPr>
                <w:bCs/>
                <w:sz w:val="24"/>
                <w:szCs w:val="24"/>
              </w:rPr>
              <w:t>2</w:t>
            </w:r>
          </w:p>
        </w:tc>
        <w:tc>
          <w:tcPr>
            <w:tcW w:w="5812" w:type="dxa"/>
            <w:tcBorders>
              <w:top w:val="nil"/>
              <w:left w:val="single" w:sz="4" w:space="0" w:color="auto"/>
              <w:bottom w:val="single" w:sz="4" w:space="0" w:color="auto"/>
              <w:right w:val="single" w:sz="4" w:space="0" w:color="auto"/>
            </w:tcBorders>
            <w:shd w:val="clear" w:color="auto" w:fill="auto"/>
            <w:vAlign w:val="center"/>
            <w:hideMark/>
          </w:tcPr>
          <w:p w:rsidR="00BC2132" w:rsidRPr="00BC2132" w:rsidRDefault="00BC2132" w:rsidP="00BC2132">
            <w:pPr>
              <w:ind w:firstLine="0"/>
              <w:jc w:val="left"/>
              <w:rPr>
                <w:bCs/>
                <w:sz w:val="22"/>
              </w:rPr>
            </w:pPr>
            <w:r>
              <w:rPr>
                <w:bCs/>
                <w:sz w:val="22"/>
              </w:rPr>
              <w:t>«Развитие образования»</w:t>
            </w:r>
            <w:r w:rsidRPr="00BC2132">
              <w:rPr>
                <w:sz w:val="22"/>
              </w:rPr>
              <w:t xml:space="preserve"> (Минобр МО)</w:t>
            </w:r>
          </w:p>
        </w:tc>
        <w:tc>
          <w:tcPr>
            <w:tcW w:w="1560" w:type="dxa"/>
            <w:tcBorders>
              <w:top w:val="nil"/>
              <w:left w:val="nil"/>
              <w:bottom w:val="single" w:sz="4" w:space="0" w:color="auto"/>
              <w:right w:val="single" w:sz="4" w:space="0" w:color="auto"/>
            </w:tcBorders>
            <w:shd w:val="clear" w:color="000000" w:fill="FFFF00"/>
            <w:vAlign w:val="center"/>
            <w:hideMark/>
          </w:tcPr>
          <w:p w:rsidR="00BC2132" w:rsidRPr="00BC2132" w:rsidRDefault="00BC2132" w:rsidP="00BC2132">
            <w:pPr>
              <w:ind w:firstLine="0"/>
              <w:jc w:val="center"/>
              <w:rPr>
                <w:b/>
                <w:bCs/>
                <w:sz w:val="18"/>
                <w:szCs w:val="18"/>
                <w:u w:val="single"/>
              </w:rPr>
            </w:pPr>
            <w:r w:rsidRPr="00BC2132">
              <w:rPr>
                <w:b/>
                <w:bCs/>
                <w:sz w:val="18"/>
                <w:szCs w:val="18"/>
                <w:u w:val="single"/>
              </w:rPr>
              <w:t>96,3%</w:t>
            </w:r>
          </w:p>
        </w:tc>
        <w:tc>
          <w:tcPr>
            <w:tcW w:w="1559" w:type="dxa"/>
            <w:tcBorders>
              <w:top w:val="nil"/>
              <w:left w:val="nil"/>
              <w:bottom w:val="single" w:sz="4" w:space="0" w:color="auto"/>
              <w:right w:val="single" w:sz="4" w:space="0" w:color="auto"/>
            </w:tcBorders>
            <w:shd w:val="clear" w:color="000000" w:fill="99FF99"/>
            <w:vAlign w:val="center"/>
            <w:hideMark/>
          </w:tcPr>
          <w:p w:rsidR="00BC2132" w:rsidRPr="00BC2132" w:rsidRDefault="00BC2132" w:rsidP="00BC2132">
            <w:pPr>
              <w:ind w:firstLine="0"/>
              <w:jc w:val="center"/>
              <w:rPr>
                <w:b/>
                <w:bCs/>
                <w:sz w:val="18"/>
                <w:szCs w:val="18"/>
                <w:u w:val="single"/>
              </w:rPr>
            </w:pPr>
            <w:r w:rsidRPr="00BC2132">
              <w:rPr>
                <w:b/>
                <w:bCs/>
                <w:sz w:val="18"/>
                <w:szCs w:val="18"/>
                <w:u w:val="single"/>
              </w:rPr>
              <w:t>100,6%</w:t>
            </w:r>
          </w:p>
        </w:tc>
        <w:tc>
          <w:tcPr>
            <w:tcW w:w="1701" w:type="dxa"/>
            <w:tcBorders>
              <w:top w:val="nil"/>
              <w:left w:val="nil"/>
              <w:bottom w:val="single" w:sz="4" w:space="0" w:color="auto"/>
              <w:right w:val="single" w:sz="4" w:space="0" w:color="auto"/>
            </w:tcBorders>
            <w:shd w:val="clear" w:color="000000" w:fill="FFC000"/>
            <w:vAlign w:val="center"/>
            <w:hideMark/>
          </w:tcPr>
          <w:p w:rsidR="00BC2132" w:rsidRPr="00BC2132" w:rsidRDefault="00BB7BD6" w:rsidP="00BC2132">
            <w:pPr>
              <w:ind w:firstLine="0"/>
              <w:jc w:val="center"/>
              <w:rPr>
                <w:b/>
                <w:bCs/>
                <w:sz w:val="18"/>
                <w:szCs w:val="18"/>
                <w:u w:val="single"/>
              </w:rPr>
            </w:pPr>
            <w:r>
              <w:rPr>
                <w:b/>
                <w:bCs/>
                <w:sz w:val="18"/>
                <w:szCs w:val="18"/>
                <w:u w:val="single"/>
              </w:rPr>
              <w:t>87,2</w:t>
            </w:r>
            <w:r w:rsidR="00BC2132" w:rsidRPr="00BC2132">
              <w:rPr>
                <w:b/>
                <w:bCs/>
                <w:sz w:val="18"/>
                <w:szCs w:val="18"/>
                <w:u w:val="single"/>
              </w:rPr>
              <w:t>%</w:t>
            </w:r>
          </w:p>
        </w:tc>
        <w:tc>
          <w:tcPr>
            <w:tcW w:w="1984" w:type="dxa"/>
            <w:tcBorders>
              <w:top w:val="nil"/>
              <w:left w:val="nil"/>
              <w:bottom w:val="single" w:sz="4" w:space="0" w:color="auto"/>
              <w:right w:val="single" w:sz="4" w:space="0" w:color="auto"/>
            </w:tcBorders>
            <w:shd w:val="clear" w:color="000000" w:fill="FFFF00"/>
            <w:vAlign w:val="center"/>
            <w:hideMark/>
          </w:tcPr>
          <w:p w:rsidR="00BC2132" w:rsidRPr="00BC2132" w:rsidRDefault="00BB7BD6" w:rsidP="00BC2132">
            <w:pPr>
              <w:ind w:firstLine="0"/>
              <w:jc w:val="center"/>
              <w:rPr>
                <w:b/>
                <w:bCs/>
                <w:sz w:val="18"/>
                <w:szCs w:val="18"/>
                <w:u w:val="single"/>
              </w:rPr>
            </w:pPr>
            <w:r>
              <w:rPr>
                <w:b/>
                <w:bCs/>
                <w:sz w:val="18"/>
                <w:szCs w:val="18"/>
                <w:u w:val="single"/>
              </w:rPr>
              <w:t>93,55</w:t>
            </w:r>
            <w:r w:rsidR="00BC2132" w:rsidRPr="00BC2132">
              <w:rPr>
                <w:b/>
                <w:bCs/>
                <w:sz w:val="18"/>
                <w:szCs w:val="18"/>
                <w:u w:val="single"/>
              </w:rPr>
              <w:t>%</w:t>
            </w:r>
          </w:p>
        </w:tc>
        <w:tc>
          <w:tcPr>
            <w:tcW w:w="1843" w:type="dxa"/>
            <w:tcBorders>
              <w:top w:val="nil"/>
              <w:left w:val="nil"/>
              <w:bottom w:val="single" w:sz="4" w:space="0" w:color="auto"/>
              <w:right w:val="single" w:sz="4" w:space="0" w:color="auto"/>
            </w:tcBorders>
            <w:shd w:val="clear" w:color="000000" w:fill="FFFF00"/>
            <w:vAlign w:val="center"/>
            <w:hideMark/>
          </w:tcPr>
          <w:p w:rsidR="00BC2132" w:rsidRPr="00BC2132" w:rsidRDefault="00BC2132" w:rsidP="00BC2132">
            <w:pPr>
              <w:ind w:firstLine="0"/>
              <w:jc w:val="center"/>
              <w:rPr>
                <w:b/>
                <w:bCs/>
                <w:sz w:val="18"/>
                <w:szCs w:val="18"/>
                <w:u w:val="single"/>
              </w:rPr>
            </w:pPr>
            <w:r w:rsidRPr="00BC2132">
              <w:rPr>
                <w:b/>
                <w:bCs/>
                <w:sz w:val="18"/>
                <w:szCs w:val="18"/>
                <w:u w:val="single"/>
              </w:rPr>
              <w:t>Средняя</w:t>
            </w:r>
          </w:p>
        </w:tc>
      </w:tr>
      <w:tr w:rsidR="00BC2132" w:rsidRPr="00BC2132" w:rsidTr="00BC213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51"/>
        </w:trPr>
        <w:tc>
          <w:tcPr>
            <w:tcW w:w="567" w:type="dxa"/>
            <w:tcBorders>
              <w:top w:val="nil"/>
              <w:left w:val="single" w:sz="4" w:space="0" w:color="auto"/>
              <w:bottom w:val="single" w:sz="4" w:space="0" w:color="auto"/>
              <w:right w:val="single" w:sz="4" w:space="0" w:color="auto"/>
            </w:tcBorders>
          </w:tcPr>
          <w:p w:rsidR="00BC2132" w:rsidRPr="00BC2132" w:rsidRDefault="00BC2132" w:rsidP="00BC2132">
            <w:pPr>
              <w:ind w:firstLine="0"/>
              <w:jc w:val="center"/>
              <w:rPr>
                <w:bCs/>
                <w:sz w:val="24"/>
                <w:szCs w:val="24"/>
              </w:rPr>
            </w:pPr>
            <w:r w:rsidRPr="00BC2132">
              <w:rPr>
                <w:bCs/>
                <w:sz w:val="24"/>
                <w:szCs w:val="24"/>
              </w:rPr>
              <w:t>3</w:t>
            </w:r>
          </w:p>
        </w:tc>
        <w:tc>
          <w:tcPr>
            <w:tcW w:w="5812" w:type="dxa"/>
            <w:tcBorders>
              <w:top w:val="nil"/>
              <w:left w:val="single" w:sz="4" w:space="0" w:color="auto"/>
              <w:bottom w:val="single" w:sz="4" w:space="0" w:color="auto"/>
              <w:right w:val="single" w:sz="4" w:space="0" w:color="auto"/>
            </w:tcBorders>
            <w:shd w:val="clear" w:color="auto" w:fill="auto"/>
            <w:vAlign w:val="center"/>
            <w:hideMark/>
          </w:tcPr>
          <w:p w:rsidR="00BC2132" w:rsidRPr="00BC2132" w:rsidRDefault="00BC2132" w:rsidP="00BC2132">
            <w:pPr>
              <w:ind w:firstLine="0"/>
              <w:jc w:val="left"/>
              <w:rPr>
                <w:bCs/>
                <w:sz w:val="22"/>
              </w:rPr>
            </w:pPr>
            <w:r>
              <w:rPr>
                <w:bCs/>
                <w:sz w:val="22"/>
              </w:rPr>
              <w:t>«</w:t>
            </w:r>
            <w:r w:rsidRPr="00BC2132">
              <w:rPr>
                <w:bCs/>
                <w:sz w:val="22"/>
              </w:rPr>
              <w:t xml:space="preserve">Социальная поддержка граждан" </w:t>
            </w:r>
            <w:r w:rsidRPr="00BC2132">
              <w:rPr>
                <w:sz w:val="22"/>
              </w:rPr>
              <w:t>(Минсоцразвития МО)</w:t>
            </w:r>
          </w:p>
        </w:tc>
        <w:tc>
          <w:tcPr>
            <w:tcW w:w="1560" w:type="dxa"/>
            <w:tcBorders>
              <w:top w:val="nil"/>
              <w:left w:val="nil"/>
              <w:bottom w:val="single" w:sz="4" w:space="0" w:color="auto"/>
              <w:right w:val="single" w:sz="4" w:space="0" w:color="auto"/>
            </w:tcBorders>
            <w:shd w:val="clear" w:color="000000" w:fill="99FF99"/>
            <w:vAlign w:val="center"/>
            <w:hideMark/>
          </w:tcPr>
          <w:p w:rsidR="00BC2132" w:rsidRPr="00BC2132" w:rsidRDefault="00BC2132" w:rsidP="00BC2132">
            <w:pPr>
              <w:ind w:firstLine="0"/>
              <w:jc w:val="center"/>
              <w:rPr>
                <w:b/>
                <w:bCs/>
                <w:sz w:val="18"/>
                <w:szCs w:val="18"/>
                <w:u w:val="single"/>
              </w:rPr>
            </w:pPr>
            <w:r w:rsidRPr="00BC2132">
              <w:rPr>
                <w:b/>
                <w:bCs/>
                <w:sz w:val="18"/>
                <w:szCs w:val="18"/>
                <w:u w:val="single"/>
              </w:rPr>
              <w:t>99,9%</w:t>
            </w:r>
          </w:p>
        </w:tc>
        <w:tc>
          <w:tcPr>
            <w:tcW w:w="1559" w:type="dxa"/>
            <w:tcBorders>
              <w:top w:val="nil"/>
              <w:left w:val="nil"/>
              <w:bottom w:val="single" w:sz="4" w:space="0" w:color="auto"/>
              <w:right w:val="single" w:sz="4" w:space="0" w:color="auto"/>
            </w:tcBorders>
            <w:shd w:val="clear" w:color="000000" w:fill="99FF99"/>
            <w:vAlign w:val="center"/>
            <w:hideMark/>
          </w:tcPr>
          <w:p w:rsidR="00BC2132" w:rsidRPr="00BC2132" w:rsidRDefault="00BC2132" w:rsidP="00BC2132">
            <w:pPr>
              <w:ind w:firstLine="0"/>
              <w:jc w:val="center"/>
              <w:rPr>
                <w:b/>
                <w:bCs/>
                <w:sz w:val="18"/>
                <w:szCs w:val="18"/>
                <w:u w:val="single"/>
              </w:rPr>
            </w:pPr>
            <w:r w:rsidRPr="00BC2132">
              <w:rPr>
                <w:b/>
                <w:bCs/>
                <w:sz w:val="18"/>
                <w:szCs w:val="18"/>
                <w:u w:val="single"/>
              </w:rPr>
              <w:t>103,9%</w:t>
            </w:r>
          </w:p>
        </w:tc>
        <w:tc>
          <w:tcPr>
            <w:tcW w:w="1701" w:type="dxa"/>
            <w:tcBorders>
              <w:top w:val="nil"/>
              <w:left w:val="nil"/>
              <w:bottom w:val="single" w:sz="4" w:space="0" w:color="auto"/>
              <w:right w:val="single" w:sz="4" w:space="0" w:color="auto"/>
            </w:tcBorders>
            <w:shd w:val="clear" w:color="000000" w:fill="E6B9B8"/>
            <w:vAlign w:val="center"/>
            <w:hideMark/>
          </w:tcPr>
          <w:p w:rsidR="00BC2132" w:rsidRPr="00BC2132" w:rsidRDefault="00BB7BD6" w:rsidP="00BC2132">
            <w:pPr>
              <w:ind w:firstLine="0"/>
              <w:jc w:val="center"/>
              <w:rPr>
                <w:b/>
                <w:bCs/>
                <w:sz w:val="18"/>
                <w:szCs w:val="18"/>
                <w:u w:val="single"/>
              </w:rPr>
            </w:pPr>
            <w:r>
              <w:rPr>
                <w:b/>
                <w:bCs/>
                <w:sz w:val="18"/>
                <w:szCs w:val="18"/>
                <w:u w:val="single"/>
              </w:rPr>
              <w:t>84,2</w:t>
            </w:r>
            <w:r w:rsidR="00BC2132" w:rsidRPr="00BC2132">
              <w:rPr>
                <w:b/>
                <w:bCs/>
                <w:sz w:val="18"/>
                <w:szCs w:val="18"/>
                <w:u w:val="single"/>
              </w:rPr>
              <w:t>%</w:t>
            </w:r>
          </w:p>
        </w:tc>
        <w:tc>
          <w:tcPr>
            <w:tcW w:w="1984" w:type="dxa"/>
            <w:tcBorders>
              <w:top w:val="nil"/>
              <w:left w:val="nil"/>
              <w:bottom w:val="single" w:sz="4" w:space="0" w:color="auto"/>
              <w:right w:val="single" w:sz="4" w:space="0" w:color="auto"/>
            </w:tcBorders>
            <w:shd w:val="clear" w:color="000000" w:fill="FFFF00"/>
            <w:vAlign w:val="center"/>
            <w:hideMark/>
          </w:tcPr>
          <w:p w:rsidR="00BC2132" w:rsidRPr="00BC2132" w:rsidRDefault="00BB7BD6" w:rsidP="00BC2132">
            <w:pPr>
              <w:ind w:firstLine="0"/>
              <w:jc w:val="center"/>
              <w:rPr>
                <w:b/>
                <w:bCs/>
                <w:sz w:val="18"/>
                <w:szCs w:val="18"/>
                <w:u w:val="single"/>
              </w:rPr>
            </w:pPr>
            <w:r>
              <w:rPr>
                <w:b/>
                <w:bCs/>
                <w:sz w:val="18"/>
                <w:szCs w:val="18"/>
                <w:u w:val="single"/>
              </w:rPr>
              <w:t>94,74</w:t>
            </w:r>
            <w:r w:rsidR="00BC2132" w:rsidRPr="00BC2132">
              <w:rPr>
                <w:b/>
                <w:bCs/>
                <w:sz w:val="18"/>
                <w:szCs w:val="18"/>
                <w:u w:val="single"/>
              </w:rPr>
              <w:t>%</w:t>
            </w:r>
          </w:p>
        </w:tc>
        <w:tc>
          <w:tcPr>
            <w:tcW w:w="1843" w:type="dxa"/>
            <w:tcBorders>
              <w:top w:val="nil"/>
              <w:left w:val="nil"/>
              <w:bottom w:val="single" w:sz="4" w:space="0" w:color="auto"/>
              <w:right w:val="single" w:sz="4" w:space="0" w:color="auto"/>
            </w:tcBorders>
            <w:shd w:val="clear" w:color="000000" w:fill="FFFF00"/>
            <w:vAlign w:val="center"/>
            <w:hideMark/>
          </w:tcPr>
          <w:p w:rsidR="00BC2132" w:rsidRPr="00BC2132" w:rsidRDefault="00BC2132" w:rsidP="00BC2132">
            <w:pPr>
              <w:ind w:firstLine="0"/>
              <w:jc w:val="center"/>
              <w:rPr>
                <w:b/>
                <w:bCs/>
                <w:sz w:val="18"/>
                <w:szCs w:val="18"/>
                <w:u w:val="single"/>
              </w:rPr>
            </w:pPr>
            <w:r w:rsidRPr="00BC2132">
              <w:rPr>
                <w:b/>
                <w:bCs/>
                <w:sz w:val="18"/>
                <w:szCs w:val="18"/>
                <w:u w:val="single"/>
              </w:rPr>
              <w:t>Средняя</w:t>
            </w:r>
          </w:p>
        </w:tc>
      </w:tr>
      <w:tr w:rsidR="00BC2132" w:rsidRPr="00BC2132" w:rsidTr="00BC213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0"/>
        </w:trPr>
        <w:tc>
          <w:tcPr>
            <w:tcW w:w="567" w:type="dxa"/>
            <w:tcBorders>
              <w:top w:val="nil"/>
              <w:left w:val="single" w:sz="4" w:space="0" w:color="auto"/>
              <w:bottom w:val="single" w:sz="4" w:space="0" w:color="auto"/>
              <w:right w:val="single" w:sz="4" w:space="0" w:color="auto"/>
            </w:tcBorders>
          </w:tcPr>
          <w:p w:rsidR="00BC2132" w:rsidRPr="00BC2132" w:rsidRDefault="00BC2132" w:rsidP="00BC2132">
            <w:pPr>
              <w:ind w:firstLine="0"/>
              <w:jc w:val="center"/>
              <w:rPr>
                <w:bCs/>
                <w:sz w:val="24"/>
                <w:szCs w:val="24"/>
              </w:rPr>
            </w:pPr>
            <w:r w:rsidRPr="00BC2132">
              <w:rPr>
                <w:bCs/>
                <w:sz w:val="24"/>
                <w:szCs w:val="24"/>
              </w:rPr>
              <w:t>4</w:t>
            </w:r>
          </w:p>
        </w:tc>
        <w:tc>
          <w:tcPr>
            <w:tcW w:w="5812" w:type="dxa"/>
            <w:tcBorders>
              <w:top w:val="nil"/>
              <w:left w:val="single" w:sz="4" w:space="0" w:color="auto"/>
              <w:bottom w:val="single" w:sz="4" w:space="0" w:color="auto"/>
              <w:right w:val="single" w:sz="4" w:space="0" w:color="auto"/>
            </w:tcBorders>
            <w:shd w:val="clear" w:color="auto" w:fill="auto"/>
            <w:vAlign w:val="center"/>
            <w:hideMark/>
          </w:tcPr>
          <w:p w:rsidR="00BC2132" w:rsidRDefault="00BC2132" w:rsidP="00BC2132">
            <w:pPr>
              <w:ind w:firstLine="0"/>
              <w:jc w:val="left"/>
              <w:rPr>
                <w:bCs/>
                <w:sz w:val="22"/>
              </w:rPr>
            </w:pPr>
            <w:r>
              <w:rPr>
                <w:bCs/>
                <w:sz w:val="22"/>
              </w:rPr>
              <w:t>«</w:t>
            </w:r>
            <w:r w:rsidRPr="00BC2132">
              <w:rPr>
                <w:bCs/>
                <w:sz w:val="22"/>
              </w:rPr>
              <w:t>Развити</w:t>
            </w:r>
            <w:r>
              <w:rPr>
                <w:bCs/>
                <w:sz w:val="22"/>
              </w:rPr>
              <w:t xml:space="preserve">е физической культуры и спорта» </w:t>
            </w:r>
          </w:p>
          <w:p w:rsidR="00BC2132" w:rsidRPr="00BC2132" w:rsidRDefault="00BC2132" w:rsidP="00BC2132">
            <w:pPr>
              <w:ind w:firstLine="0"/>
              <w:jc w:val="left"/>
              <w:rPr>
                <w:bCs/>
                <w:sz w:val="22"/>
              </w:rPr>
            </w:pPr>
            <w:r w:rsidRPr="00BC2132">
              <w:rPr>
                <w:sz w:val="22"/>
              </w:rPr>
              <w:t>(Минспорт МО)</w:t>
            </w:r>
          </w:p>
        </w:tc>
        <w:tc>
          <w:tcPr>
            <w:tcW w:w="1560" w:type="dxa"/>
            <w:tcBorders>
              <w:top w:val="nil"/>
              <w:left w:val="nil"/>
              <w:bottom w:val="single" w:sz="4" w:space="0" w:color="auto"/>
              <w:right w:val="single" w:sz="4" w:space="0" w:color="auto"/>
            </w:tcBorders>
            <w:shd w:val="clear" w:color="000000" w:fill="FFFF66"/>
            <w:vAlign w:val="center"/>
            <w:hideMark/>
          </w:tcPr>
          <w:p w:rsidR="00BC2132" w:rsidRPr="00BC2132" w:rsidRDefault="00BC2132" w:rsidP="00BC2132">
            <w:pPr>
              <w:ind w:firstLine="0"/>
              <w:jc w:val="center"/>
              <w:rPr>
                <w:b/>
                <w:bCs/>
                <w:sz w:val="18"/>
                <w:szCs w:val="18"/>
                <w:u w:val="single"/>
              </w:rPr>
            </w:pPr>
            <w:r w:rsidRPr="00BC2132">
              <w:rPr>
                <w:b/>
                <w:bCs/>
                <w:sz w:val="18"/>
                <w:szCs w:val="18"/>
                <w:u w:val="single"/>
              </w:rPr>
              <w:t>95,6%</w:t>
            </w:r>
          </w:p>
        </w:tc>
        <w:tc>
          <w:tcPr>
            <w:tcW w:w="1559" w:type="dxa"/>
            <w:tcBorders>
              <w:top w:val="nil"/>
              <w:left w:val="nil"/>
              <w:bottom w:val="single" w:sz="4" w:space="0" w:color="auto"/>
              <w:right w:val="single" w:sz="4" w:space="0" w:color="auto"/>
            </w:tcBorders>
            <w:shd w:val="clear" w:color="000000" w:fill="99FF99"/>
            <w:vAlign w:val="center"/>
            <w:hideMark/>
          </w:tcPr>
          <w:p w:rsidR="00BC2132" w:rsidRPr="00BC2132" w:rsidRDefault="00BC2132" w:rsidP="00BC2132">
            <w:pPr>
              <w:ind w:firstLine="0"/>
              <w:jc w:val="center"/>
              <w:rPr>
                <w:b/>
                <w:bCs/>
                <w:sz w:val="18"/>
                <w:szCs w:val="18"/>
                <w:u w:val="single"/>
              </w:rPr>
            </w:pPr>
            <w:r w:rsidRPr="00BC2132">
              <w:rPr>
                <w:b/>
                <w:bCs/>
                <w:sz w:val="18"/>
                <w:szCs w:val="18"/>
                <w:u w:val="single"/>
              </w:rPr>
              <w:t>102,6%</w:t>
            </w:r>
          </w:p>
        </w:tc>
        <w:tc>
          <w:tcPr>
            <w:tcW w:w="1701" w:type="dxa"/>
            <w:tcBorders>
              <w:top w:val="nil"/>
              <w:left w:val="nil"/>
              <w:bottom w:val="single" w:sz="4" w:space="0" w:color="auto"/>
              <w:right w:val="single" w:sz="4" w:space="0" w:color="auto"/>
            </w:tcBorders>
            <w:shd w:val="clear" w:color="000000" w:fill="E6B9B8"/>
            <w:vAlign w:val="center"/>
            <w:hideMark/>
          </w:tcPr>
          <w:p w:rsidR="00BC2132" w:rsidRPr="00BC2132" w:rsidRDefault="00BC2132" w:rsidP="00BC2132">
            <w:pPr>
              <w:ind w:firstLine="0"/>
              <w:jc w:val="center"/>
              <w:rPr>
                <w:b/>
                <w:bCs/>
                <w:sz w:val="18"/>
                <w:szCs w:val="18"/>
                <w:u w:val="single"/>
              </w:rPr>
            </w:pPr>
            <w:r w:rsidRPr="00BC2132">
              <w:rPr>
                <w:b/>
                <w:bCs/>
                <w:sz w:val="18"/>
                <w:szCs w:val="18"/>
                <w:u w:val="single"/>
              </w:rPr>
              <w:t>78,4%</w:t>
            </w:r>
          </w:p>
        </w:tc>
        <w:tc>
          <w:tcPr>
            <w:tcW w:w="1984" w:type="dxa"/>
            <w:tcBorders>
              <w:top w:val="nil"/>
              <w:left w:val="nil"/>
              <w:bottom w:val="single" w:sz="4" w:space="0" w:color="auto"/>
              <w:right w:val="single" w:sz="4" w:space="0" w:color="auto"/>
            </w:tcBorders>
            <w:shd w:val="clear" w:color="000000" w:fill="FFC000"/>
            <w:vAlign w:val="center"/>
            <w:hideMark/>
          </w:tcPr>
          <w:p w:rsidR="00BC2132" w:rsidRPr="00BC2132" w:rsidRDefault="00BC2132" w:rsidP="00BC2132">
            <w:pPr>
              <w:ind w:firstLine="0"/>
              <w:jc w:val="center"/>
              <w:rPr>
                <w:b/>
                <w:bCs/>
                <w:sz w:val="18"/>
                <w:szCs w:val="18"/>
                <w:u w:val="single"/>
              </w:rPr>
            </w:pPr>
            <w:r w:rsidRPr="00BC2132">
              <w:rPr>
                <w:b/>
                <w:bCs/>
                <w:sz w:val="18"/>
                <w:szCs w:val="18"/>
                <w:u w:val="single"/>
              </w:rPr>
              <w:t>90,99%</w:t>
            </w:r>
          </w:p>
        </w:tc>
        <w:tc>
          <w:tcPr>
            <w:tcW w:w="1843" w:type="dxa"/>
            <w:tcBorders>
              <w:top w:val="nil"/>
              <w:left w:val="nil"/>
              <w:bottom w:val="single" w:sz="4" w:space="0" w:color="auto"/>
              <w:right w:val="single" w:sz="4" w:space="0" w:color="auto"/>
            </w:tcBorders>
            <w:shd w:val="clear" w:color="000000" w:fill="FFC000"/>
            <w:vAlign w:val="center"/>
            <w:hideMark/>
          </w:tcPr>
          <w:p w:rsidR="00BC2132" w:rsidRPr="00BC2132" w:rsidRDefault="00BC2132" w:rsidP="00BC2132">
            <w:pPr>
              <w:ind w:firstLine="0"/>
              <w:jc w:val="center"/>
              <w:rPr>
                <w:b/>
                <w:bCs/>
                <w:sz w:val="18"/>
                <w:szCs w:val="18"/>
                <w:u w:val="single"/>
              </w:rPr>
            </w:pPr>
            <w:r w:rsidRPr="00BC2132">
              <w:rPr>
                <w:b/>
                <w:bCs/>
                <w:sz w:val="18"/>
                <w:szCs w:val="18"/>
                <w:u w:val="single"/>
              </w:rPr>
              <w:t>Ниже среднего</w:t>
            </w:r>
          </w:p>
        </w:tc>
      </w:tr>
      <w:tr w:rsidR="00BC2132" w:rsidRPr="00BC2132" w:rsidTr="00BC213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0"/>
        </w:trPr>
        <w:tc>
          <w:tcPr>
            <w:tcW w:w="567" w:type="dxa"/>
            <w:tcBorders>
              <w:top w:val="nil"/>
              <w:left w:val="single" w:sz="4" w:space="0" w:color="auto"/>
              <w:bottom w:val="single" w:sz="4" w:space="0" w:color="auto"/>
              <w:right w:val="single" w:sz="4" w:space="0" w:color="auto"/>
            </w:tcBorders>
          </w:tcPr>
          <w:p w:rsidR="00BC2132" w:rsidRPr="00BC2132" w:rsidRDefault="00BC2132" w:rsidP="00BC2132">
            <w:pPr>
              <w:ind w:firstLine="0"/>
              <w:jc w:val="center"/>
              <w:rPr>
                <w:bCs/>
                <w:sz w:val="24"/>
                <w:szCs w:val="24"/>
              </w:rPr>
            </w:pPr>
            <w:r w:rsidRPr="00BC2132">
              <w:rPr>
                <w:bCs/>
                <w:sz w:val="24"/>
                <w:szCs w:val="24"/>
              </w:rPr>
              <w:t>5</w:t>
            </w:r>
          </w:p>
        </w:tc>
        <w:tc>
          <w:tcPr>
            <w:tcW w:w="5812" w:type="dxa"/>
            <w:tcBorders>
              <w:top w:val="nil"/>
              <w:left w:val="single" w:sz="4" w:space="0" w:color="auto"/>
              <w:bottom w:val="single" w:sz="4" w:space="0" w:color="auto"/>
              <w:right w:val="single" w:sz="4" w:space="0" w:color="auto"/>
            </w:tcBorders>
            <w:shd w:val="clear" w:color="auto" w:fill="auto"/>
            <w:vAlign w:val="center"/>
            <w:hideMark/>
          </w:tcPr>
          <w:p w:rsidR="00BC2132" w:rsidRPr="00BC2132" w:rsidRDefault="00BC2132" w:rsidP="00BC2132">
            <w:pPr>
              <w:ind w:firstLine="0"/>
              <w:jc w:val="left"/>
              <w:rPr>
                <w:bCs/>
                <w:sz w:val="22"/>
              </w:rPr>
            </w:pPr>
            <w:r>
              <w:rPr>
                <w:bCs/>
                <w:sz w:val="22"/>
              </w:rPr>
              <w:t>«</w:t>
            </w:r>
            <w:r w:rsidRPr="00BC2132">
              <w:rPr>
                <w:bCs/>
                <w:sz w:val="22"/>
              </w:rPr>
              <w:t>Развитие культуры и сохранен</w:t>
            </w:r>
            <w:r w:rsidR="00501EE5">
              <w:rPr>
                <w:bCs/>
                <w:sz w:val="22"/>
              </w:rPr>
              <w:t xml:space="preserve">ие культурного наследия региона» </w:t>
            </w:r>
            <w:r w:rsidRPr="00BC2132">
              <w:rPr>
                <w:sz w:val="22"/>
              </w:rPr>
              <w:t>(Министерство культуры МО)</w:t>
            </w:r>
          </w:p>
        </w:tc>
        <w:tc>
          <w:tcPr>
            <w:tcW w:w="1560" w:type="dxa"/>
            <w:tcBorders>
              <w:top w:val="nil"/>
              <w:left w:val="nil"/>
              <w:bottom w:val="single" w:sz="4" w:space="0" w:color="auto"/>
              <w:right w:val="single" w:sz="4" w:space="0" w:color="auto"/>
            </w:tcBorders>
            <w:shd w:val="clear" w:color="000000" w:fill="FFFF00"/>
            <w:vAlign w:val="center"/>
            <w:hideMark/>
          </w:tcPr>
          <w:p w:rsidR="00BC2132" w:rsidRPr="00BC2132" w:rsidRDefault="00BC2132" w:rsidP="00BC2132">
            <w:pPr>
              <w:ind w:firstLine="0"/>
              <w:jc w:val="center"/>
              <w:rPr>
                <w:b/>
                <w:bCs/>
                <w:sz w:val="18"/>
                <w:szCs w:val="18"/>
                <w:u w:val="single"/>
              </w:rPr>
            </w:pPr>
            <w:r w:rsidRPr="00BC2132">
              <w:rPr>
                <w:b/>
                <w:bCs/>
                <w:sz w:val="18"/>
                <w:szCs w:val="18"/>
                <w:u w:val="single"/>
              </w:rPr>
              <w:t>94,2%</w:t>
            </w:r>
          </w:p>
        </w:tc>
        <w:tc>
          <w:tcPr>
            <w:tcW w:w="1559" w:type="dxa"/>
            <w:tcBorders>
              <w:top w:val="nil"/>
              <w:left w:val="nil"/>
              <w:bottom w:val="single" w:sz="4" w:space="0" w:color="auto"/>
              <w:right w:val="single" w:sz="4" w:space="0" w:color="auto"/>
            </w:tcBorders>
            <w:shd w:val="clear" w:color="000000" w:fill="99FF99"/>
            <w:vAlign w:val="center"/>
            <w:hideMark/>
          </w:tcPr>
          <w:p w:rsidR="00BC2132" w:rsidRPr="00BC2132" w:rsidRDefault="00BC2132" w:rsidP="00BC2132">
            <w:pPr>
              <w:ind w:firstLine="0"/>
              <w:jc w:val="center"/>
              <w:rPr>
                <w:b/>
                <w:bCs/>
                <w:sz w:val="18"/>
                <w:szCs w:val="18"/>
                <w:u w:val="single"/>
              </w:rPr>
            </w:pPr>
            <w:r w:rsidRPr="00BC2132">
              <w:rPr>
                <w:b/>
                <w:bCs/>
                <w:sz w:val="18"/>
                <w:szCs w:val="18"/>
                <w:u w:val="single"/>
              </w:rPr>
              <w:t>100,8%</w:t>
            </w:r>
          </w:p>
        </w:tc>
        <w:tc>
          <w:tcPr>
            <w:tcW w:w="1701" w:type="dxa"/>
            <w:tcBorders>
              <w:top w:val="nil"/>
              <w:left w:val="nil"/>
              <w:bottom w:val="single" w:sz="4" w:space="0" w:color="auto"/>
              <w:right w:val="single" w:sz="4" w:space="0" w:color="auto"/>
            </w:tcBorders>
            <w:shd w:val="clear" w:color="000000" w:fill="FFFF66"/>
            <w:vAlign w:val="center"/>
            <w:hideMark/>
          </w:tcPr>
          <w:p w:rsidR="00BC2132" w:rsidRPr="00BC2132" w:rsidRDefault="00BC2132" w:rsidP="00BC2132">
            <w:pPr>
              <w:ind w:firstLine="0"/>
              <w:jc w:val="center"/>
              <w:rPr>
                <w:b/>
                <w:bCs/>
                <w:sz w:val="18"/>
                <w:szCs w:val="18"/>
                <w:u w:val="single"/>
              </w:rPr>
            </w:pPr>
            <w:r w:rsidRPr="00BC2132">
              <w:rPr>
                <w:b/>
                <w:bCs/>
                <w:sz w:val="18"/>
                <w:szCs w:val="18"/>
                <w:u w:val="single"/>
              </w:rPr>
              <w:t>95,08%</w:t>
            </w:r>
          </w:p>
        </w:tc>
        <w:tc>
          <w:tcPr>
            <w:tcW w:w="1984" w:type="dxa"/>
            <w:tcBorders>
              <w:top w:val="nil"/>
              <w:left w:val="nil"/>
              <w:bottom w:val="single" w:sz="4" w:space="0" w:color="auto"/>
              <w:right w:val="single" w:sz="4" w:space="0" w:color="auto"/>
            </w:tcBorders>
            <w:shd w:val="clear" w:color="000000" w:fill="FFFF00"/>
            <w:vAlign w:val="center"/>
            <w:hideMark/>
          </w:tcPr>
          <w:p w:rsidR="00BC2132" w:rsidRPr="00BC2132" w:rsidRDefault="00BC2132" w:rsidP="00BC2132">
            <w:pPr>
              <w:ind w:firstLine="0"/>
              <w:jc w:val="center"/>
              <w:rPr>
                <w:b/>
                <w:bCs/>
                <w:sz w:val="18"/>
                <w:szCs w:val="18"/>
                <w:u w:val="single"/>
              </w:rPr>
            </w:pPr>
            <w:r w:rsidRPr="00BC2132">
              <w:rPr>
                <w:b/>
                <w:bCs/>
                <w:sz w:val="18"/>
                <w:szCs w:val="18"/>
                <w:u w:val="single"/>
              </w:rPr>
              <w:t>95,77%</w:t>
            </w:r>
          </w:p>
        </w:tc>
        <w:tc>
          <w:tcPr>
            <w:tcW w:w="1843" w:type="dxa"/>
            <w:tcBorders>
              <w:top w:val="nil"/>
              <w:left w:val="nil"/>
              <w:bottom w:val="single" w:sz="4" w:space="0" w:color="auto"/>
              <w:right w:val="single" w:sz="4" w:space="0" w:color="auto"/>
            </w:tcBorders>
            <w:shd w:val="clear" w:color="000000" w:fill="FFFF00"/>
            <w:vAlign w:val="center"/>
            <w:hideMark/>
          </w:tcPr>
          <w:p w:rsidR="00BC2132" w:rsidRPr="00BC2132" w:rsidRDefault="00BC2132" w:rsidP="00BC2132">
            <w:pPr>
              <w:ind w:firstLine="0"/>
              <w:jc w:val="center"/>
              <w:rPr>
                <w:b/>
                <w:bCs/>
                <w:sz w:val="18"/>
                <w:szCs w:val="18"/>
                <w:u w:val="single"/>
              </w:rPr>
            </w:pPr>
            <w:r w:rsidRPr="00BC2132">
              <w:rPr>
                <w:b/>
                <w:bCs/>
                <w:sz w:val="18"/>
                <w:szCs w:val="18"/>
                <w:u w:val="single"/>
              </w:rPr>
              <w:t>Средняя</w:t>
            </w:r>
          </w:p>
        </w:tc>
      </w:tr>
      <w:tr w:rsidR="00BC2132" w:rsidRPr="00BC2132" w:rsidTr="00BC213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0"/>
        </w:trPr>
        <w:tc>
          <w:tcPr>
            <w:tcW w:w="567" w:type="dxa"/>
            <w:tcBorders>
              <w:top w:val="nil"/>
              <w:left w:val="single" w:sz="4" w:space="0" w:color="auto"/>
              <w:bottom w:val="single" w:sz="4" w:space="0" w:color="auto"/>
              <w:right w:val="single" w:sz="4" w:space="0" w:color="auto"/>
            </w:tcBorders>
          </w:tcPr>
          <w:p w:rsidR="00BC2132" w:rsidRPr="00BC2132" w:rsidRDefault="00BC2132" w:rsidP="00BC2132">
            <w:pPr>
              <w:ind w:firstLine="0"/>
              <w:jc w:val="center"/>
              <w:rPr>
                <w:bCs/>
                <w:sz w:val="24"/>
                <w:szCs w:val="24"/>
              </w:rPr>
            </w:pPr>
            <w:r w:rsidRPr="00BC2132">
              <w:rPr>
                <w:bCs/>
                <w:sz w:val="24"/>
                <w:szCs w:val="24"/>
              </w:rPr>
              <w:t>6</w:t>
            </w:r>
          </w:p>
        </w:tc>
        <w:tc>
          <w:tcPr>
            <w:tcW w:w="5812" w:type="dxa"/>
            <w:tcBorders>
              <w:top w:val="nil"/>
              <w:left w:val="single" w:sz="4" w:space="0" w:color="auto"/>
              <w:bottom w:val="single" w:sz="4" w:space="0" w:color="auto"/>
              <w:right w:val="single" w:sz="4" w:space="0" w:color="auto"/>
            </w:tcBorders>
            <w:shd w:val="clear" w:color="auto" w:fill="auto"/>
            <w:vAlign w:val="center"/>
            <w:hideMark/>
          </w:tcPr>
          <w:p w:rsidR="00BC2132" w:rsidRPr="00BC2132" w:rsidRDefault="00501EE5" w:rsidP="00BC2132">
            <w:pPr>
              <w:ind w:firstLine="0"/>
              <w:jc w:val="left"/>
              <w:rPr>
                <w:bCs/>
                <w:sz w:val="22"/>
              </w:rPr>
            </w:pPr>
            <w:r>
              <w:rPr>
                <w:bCs/>
                <w:sz w:val="22"/>
              </w:rPr>
              <w:t>«</w:t>
            </w:r>
            <w:r w:rsidR="00BC2132" w:rsidRPr="00BC2132">
              <w:rPr>
                <w:bCs/>
                <w:sz w:val="22"/>
              </w:rPr>
              <w:t>Управление разви</w:t>
            </w:r>
            <w:r>
              <w:rPr>
                <w:bCs/>
                <w:sz w:val="22"/>
              </w:rPr>
              <w:t xml:space="preserve">тием регионального рынка труда» </w:t>
            </w:r>
            <w:r w:rsidR="00BC2132" w:rsidRPr="00BC2132">
              <w:rPr>
                <w:sz w:val="22"/>
              </w:rPr>
              <w:t>(Министерство труда и соцразвития МО)</w:t>
            </w:r>
          </w:p>
        </w:tc>
        <w:tc>
          <w:tcPr>
            <w:tcW w:w="1560" w:type="dxa"/>
            <w:tcBorders>
              <w:top w:val="nil"/>
              <w:left w:val="nil"/>
              <w:bottom w:val="single" w:sz="4" w:space="0" w:color="auto"/>
              <w:right w:val="single" w:sz="4" w:space="0" w:color="auto"/>
            </w:tcBorders>
            <w:shd w:val="clear" w:color="000000" w:fill="FFFF66"/>
            <w:vAlign w:val="center"/>
            <w:hideMark/>
          </w:tcPr>
          <w:p w:rsidR="00BC2132" w:rsidRPr="00BC2132" w:rsidRDefault="00BC2132" w:rsidP="00BC2132">
            <w:pPr>
              <w:ind w:firstLine="0"/>
              <w:jc w:val="center"/>
              <w:rPr>
                <w:b/>
                <w:bCs/>
                <w:sz w:val="18"/>
                <w:szCs w:val="18"/>
                <w:u w:val="single"/>
              </w:rPr>
            </w:pPr>
            <w:r w:rsidRPr="00BC2132">
              <w:rPr>
                <w:b/>
                <w:bCs/>
                <w:sz w:val="18"/>
                <w:szCs w:val="18"/>
                <w:u w:val="single"/>
              </w:rPr>
              <w:t>96,7%</w:t>
            </w:r>
          </w:p>
        </w:tc>
        <w:tc>
          <w:tcPr>
            <w:tcW w:w="1559" w:type="dxa"/>
            <w:tcBorders>
              <w:top w:val="nil"/>
              <w:left w:val="nil"/>
              <w:bottom w:val="single" w:sz="4" w:space="0" w:color="auto"/>
              <w:right w:val="single" w:sz="4" w:space="0" w:color="auto"/>
            </w:tcBorders>
            <w:shd w:val="clear" w:color="000000" w:fill="99FF99"/>
            <w:vAlign w:val="center"/>
            <w:hideMark/>
          </w:tcPr>
          <w:p w:rsidR="00BC2132" w:rsidRPr="00BC2132" w:rsidRDefault="00BC2132" w:rsidP="00BC2132">
            <w:pPr>
              <w:ind w:firstLine="0"/>
              <w:jc w:val="center"/>
              <w:rPr>
                <w:b/>
                <w:bCs/>
                <w:sz w:val="18"/>
                <w:szCs w:val="18"/>
                <w:u w:val="single"/>
              </w:rPr>
            </w:pPr>
            <w:r w:rsidRPr="00BC2132">
              <w:rPr>
                <w:b/>
                <w:bCs/>
                <w:sz w:val="18"/>
                <w:szCs w:val="18"/>
                <w:u w:val="single"/>
              </w:rPr>
              <w:t>102,3%</w:t>
            </w:r>
          </w:p>
        </w:tc>
        <w:tc>
          <w:tcPr>
            <w:tcW w:w="1701" w:type="dxa"/>
            <w:tcBorders>
              <w:top w:val="nil"/>
              <w:left w:val="nil"/>
              <w:bottom w:val="single" w:sz="4" w:space="0" w:color="auto"/>
              <w:right w:val="single" w:sz="4" w:space="0" w:color="auto"/>
            </w:tcBorders>
            <w:shd w:val="clear" w:color="000000" w:fill="FFFF66"/>
            <w:vAlign w:val="center"/>
            <w:hideMark/>
          </w:tcPr>
          <w:p w:rsidR="00BC2132" w:rsidRPr="00BC2132" w:rsidRDefault="00BC2132" w:rsidP="00BC2132">
            <w:pPr>
              <w:ind w:firstLine="0"/>
              <w:jc w:val="center"/>
              <w:rPr>
                <w:b/>
                <w:bCs/>
                <w:sz w:val="18"/>
                <w:szCs w:val="18"/>
                <w:u w:val="single"/>
              </w:rPr>
            </w:pPr>
            <w:r w:rsidRPr="00BC2132">
              <w:rPr>
                <w:b/>
                <w:bCs/>
                <w:sz w:val="18"/>
                <w:szCs w:val="18"/>
                <w:u w:val="single"/>
              </w:rPr>
              <w:t>93,62%</w:t>
            </w:r>
          </w:p>
        </w:tc>
        <w:tc>
          <w:tcPr>
            <w:tcW w:w="1984" w:type="dxa"/>
            <w:tcBorders>
              <w:top w:val="nil"/>
              <w:left w:val="nil"/>
              <w:bottom w:val="single" w:sz="4" w:space="0" w:color="auto"/>
              <w:right w:val="single" w:sz="4" w:space="0" w:color="auto"/>
            </w:tcBorders>
            <w:shd w:val="clear" w:color="000000" w:fill="FFFF00"/>
            <w:vAlign w:val="center"/>
            <w:hideMark/>
          </w:tcPr>
          <w:p w:rsidR="00BC2132" w:rsidRPr="00BC2132" w:rsidRDefault="00BB7BD6" w:rsidP="00BC2132">
            <w:pPr>
              <w:ind w:firstLine="0"/>
              <w:jc w:val="center"/>
              <w:rPr>
                <w:b/>
                <w:bCs/>
                <w:sz w:val="18"/>
                <w:szCs w:val="18"/>
                <w:u w:val="single"/>
              </w:rPr>
            </w:pPr>
            <w:r>
              <w:rPr>
                <w:b/>
                <w:bCs/>
                <w:sz w:val="18"/>
                <w:szCs w:val="18"/>
                <w:u w:val="single"/>
              </w:rPr>
              <w:t>96,51</w:t>
            </w:r>
            <w:r w:rsidR="00BC2132" w:rsidRPr="00BC2132">
              <w:rPr>
                <w:b/>
                <w:bCs/>
                <w:sz w:val="18"/>
                <w:szCs w:val="18"/>
                <w:u w:val="single"/>
              </w:rPr>
              <w:t>%</w:t>
            </w:r>
          </w:p>
        </w:tc>
        <w:tc>
          <w:tcPr>
            <w:tcW w:w="1843" w:type="dxa"/>
            <w:tcBorders>
              <w:top w:val="nil"/>
              <w:left w:val="nil"/>
              <w:bottom w:val="single" w:sz="4" w:space="0" w:color="auto"/>
              <w:right w:val="single" w:sz="4" w:space="0" w:color="auto"/>
            </w:tcBorders>
            <w:shd w:val="clear" w:color="000000" w:fill="FFFF00"/>
            <w:vAlign w:val="center"/>
            <w:hideMark/>
          </w:tcPr>
          <w:p w:rsidR="00BC2132" w:rsidRPr="00BC2132" w:rsidRDefault="00BC2132" w:rsidP="00BC2132">
            <w:pPr>
              <w:ind w:firstLine="0"/>
              <w:jc w:val="center"/>
              <w:rPr>
                <w:b/>
                <w:bCs/>
                <w:sz w:val="18"/>
                <w:szCs w:val="18"/>
                <w:u w:val="single"/>
              </w:rPr>
            </w:pPr>
            <w:r w:rsidRPr="00BC2132">
              <w:rPr>
                <w:b/>
                <w:bCs/>
                <w:sz w:val="18"/>
                <w:szCs w:val="18"/>
                <w:u w:val="single"/>
              </w:rPr>
              <w:t>Средняя</w:t>
            </w:r>
          </w:p>
        </w:tc>
      </w:tr>
      <w:tr w:rsidR="00BC2132" w:rsidRPr="00BC2132" w:rsidTr="00BC213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126"/>
        </w:trPr>
        <w:tc>
          <w:tcPr>
            <w:tcW w:w="567" w:type="dxa"/>
            <w:tcBorders>
              <w:top w:val="nil"/>
              <w:left w:val="single" w:sz="4" w:space="0" w:color="auto"/>
              <w:bottom w:val="single" w:sz="4" w:space="0" w:color="auto"/>
              <w:right w:val="single" w:sz="4" w:space="0" w:color="auto"/>
            </w:tcBorders>
          </w:tcPr>
          <w:p w:rsidR="00BC2132" w:rsidRPr="00BC2132" w:rsidRDefault="00BC2132" w:rsidP="00BC2132">
            <w:pPr>
              <w:ind w:firstLine="0"/>
              <w:jc w:val="center"/>
              <w:rPr>
                <w:bCs/>
                <w:sz w:val="24"/>
                <w:szCs w:val="24"/>
              </w:rPr>
            </w:pPr>
            <w:r w:rsidRPr="00BC2132">
              <w:rPr>
                <w:bCs/>
                <w:sz w:val="24"/>
                <w:szCs w:val="24"/>
              </w:rPr>
              <w:t>7</w:t>
            </w:r>
          </w:p>
        </w:tc>
        <w:tc>
          <w:tcPr>
            <w:tcW w:w="5812" w:type="dxa"/>
            <w:tcBorders>
              <w:top w:val="nil"/>
              <w:left w:val="single" w:sz="4" w:space="0" w:color="auto"/>
              <w:bottom w:val="single" w:sz="4" w:space="0" w:color="auto"/>
              <w:right w:val="single" w:sz="4" w:space="0" w:color="auto"/>
            </w:tcBorders>
            <w:shd w:val="clear" w:color="auto" w:fill="auto"/>
            <w:vAlign w:val="center"/>
            <w:hideMark/>
          </w:tcPr>
          <w:p w:rsidR="00BC2132" w:rsidRPr="00BC2132" w:rsidRDefault="00501EE5" w:rsidP="00501EE5">
            <w:pPr>
              <w:ind w:firstLine="0"/>
              <w:jc w:val="left"/>
              <w:rPr>
                <w:bCs/>
                <w:sz w:val="22"/>
              </w:rPr>
            </w:pPr>
            <w:r>
              <w:rPr>
                <w:bCs/>
                <w:sz w:val="22"/>
              </w:rPr>
              <w:t>«</w:t>
            </w:r>
            <w:r w:rsidR="00BC2132" w:rsidRPr="00BC2132">
              <w:rPr>
                <w:bCs/>
                <w:sz w:val="22"/>
              </w:rPr>
              <w:t>Обеспечение комфортной среды проживания населения региона</w:t>
            </w:r>
            <w:r>
              <w:rPr>
                <w:bCs/>
                <w:sz w:val="22"/>
              </w:rPr>
              <w:t>»</w:t>
            </w:r>
            <w:r w:rsidR="00BC2132" w:rsidRPr="00BC2132">
              <w:rPr>
                <w:bCs/>
                <w:sz w:val="22"/>
              </w:rPr>
              <w:t xml:space="preserve"> </w:t>
            </w:r>
            <w:r w:rsidR="00BC2132" w:rsidRPr="00BC2132">
              <w:rPr>
                <w:sz w:val="22"/>
              </w:rPr>
              <w:t>(Минстрой МО)</w:t>
            </w:r>
          </w:p>
        </w:tc>
        <w:tc>
          <w:tcPr>
            <w:tcW w:w="1560" w:type="dxa"/>
            <w:tcBorders>
              <w:top w:val="nil"/>
              <w:left w:val="nil"/>
              <w:bottom w:val="single" w:sz="4" w:space="0" w:color="auto"/>
              <w:right w:val="single" w:sz="4" w:space="0" w:color="auto"/>
            </w:tcBorders>
            <w:shd w:val="clear" w:color="000000" w:fill="FFC000"/>
            <w:vAlign w:val="center"/>
            <w:hideMark/>
          </w:tcPr>
          <w:p w:rsidR="00BC2132" w:rsidRPr="00BC2132" w:rsidRDefault="00BC2132" w:rsidP="00BC2132">
            <w:pPr>
              <w:ind w:firstLine="0"/>
              <w:jc w:val="center"/>
              <w:rPr>
                <w:b/>
                <w:bCs/>
                <w:sz w:val="18"/>
                <w:szCs w:val="18"/>
                <w:u w:val="single"/>
              </w:rPr>
            </w:pPr>
            <w:r w:rsidRPr="00BC2132">
              <w:rPr>
                <w:b/>
                <w:bCs/>
                <w:sz w:val="18"/>
                <w:szCs w:val="18"/>
                <w:u w:val="single"/>
              </w:rPr>
              <w:t>91,2%</w:t>
            </w:r>
          </w:p>
        </w:tc>
        <w:tc>
          <w:tcPr>
            <w:tcW w:w="1559" w:type="dxa"/>
            <w:tcBorders>
              <w:top w:val="nil"/>
              <w:left w:val="nil"/>
              <w:bottom w:val="single" w:sz="4" w:space="0" w:color="auto"/>
              <w:right w:val="single" w:sz="4" w:space="0" w:color="auto"/>
            </w:tcBorders>
            <w:shd w:val="clear" w:color="000000" w:fill="99FF99"/>
            <w:vAlign w:val="center"/>
            <w:hideMark/>
          </w:tcPr>
          <w:p w:rsidR="00BC2132" w:rsidRPr="00BC2132" w:rsidRDefault="00BC2132" w:rsidP="00BC2132">
            <w:pPr>
              <w:ind w:firstLine="0"/>
              <w:jc w:val="center"/>
              <w:rPr>
                <w:b/>
                <w:bCs/>
                <w:sz w:val="18"/>
                <w:szCs w:val="18"/>
                <w:u w:val="single"/>
              </w:rPr>
            </w:pPr>
            <w:r w:rsidRPr="00BC2132">
              <w:rPr>
                <w:b/>
                <w:bCs/>
                <w:sz w:val="18"/>
                <w:szCs w:val="18"/>
                <w:u w:val="single"/>
              </w:rPr>
              <w:t>101,0%</w:t>
            </w:r>
          </w:p>
        </w:tc>
        <w:tc>
          <w:tcPr>
            <w:tcW w:w="1701" w:type="dxa"/>
            <w:tcBorders>
              <w:top w:val="nil"/>
              <w:left w:val="nil"/>
              <w:bottom w:val="single" w:sz="4" w:space="0" w:color="auto"/>
              <w:right w:val="single" w:sz="4" w:space="0" w:color="auto"/>
            </w:tcBorders>
            <w:shd w:val="clear" w:color="000000" w:fill="E6B9B8"/>
            <w:vAlign w:val="center"/>
            <w:hideMark/>
          </w:tcPr>
          <w:p w:rsidR="00BC2132" w:rsidRPr="00BC2132" w:rsidRDefault="003D2FBD" w:rsidP="00BC2132">
            <w:pPr>
              <w:ind w:firstLine="0"/>
              <w:jc w:val="center"/>
              <w:rPr>
                <w:b/>
                <w:bCs/>
                <w:sz w:val="18"/>
                <w:szCs w:val="18"/>
                <w:u w:val="single"/>
              </w:rPr>
            </w:pPr>
            <w:r>
              <w:rPr>
                <w:b/>
                <w:bCs/>
                <w:sz w:val="18"/>
                <w:szCs w:val="18"/>
                <w:u w:val="single"/>
              </w:rPr>
              <w:t>81,7</w:t>
            </w:r>
            <w:r w:rsidR="00BC2132" w:rsidRPr="00BC2132">
              <w:rPr>
                <w:b/>
                <w:bCs/>
                <w:sz w:val="18"/>
                <w:szCs w:val="18"/>
                <w:u w:val="single"/>
              </w:rPr>
              <w:t>%</w:t>
            </w:r>
          </w:p>
        </w:tc>
        <w:tc>
          <w:tcPr>
            <w:tcW w:w="1984" w:type="dxa"/>
            <w:tcBorders>
              <w:top w:val="nil"/>
              <w:left w:val="nil"/>
              <w:bottom w:val="single" w:sz="4" w:space="0" w:color="auto"/>
              <w:right w:val="single" w:sz="4" w:space="0" w:color="auto"/>
            </w:tcBorders>
            <w:shd w:val="clear" w:color="000000" w:fill="FFC000"/>
            <w:vAlign w:val="center"/>
            <w:hideMark/>
          </w:tcPr>
          <w:p w:rsidR="00BC2132" w:rsidRPr="00BC2132" w:rsidRDefault="00BB7BD6" w:rsidP="00BB7BD6">
            <w:pPr>
              <w:ind w:firstLine="0"/>
              <w:jc w:val="center"/>
              <w:rPr>
                <w:b/>
                <w:bCs/>
                <w:sz w:val="18"/>
                <w:szCs w:val="18"/>
                <w:u w:val="single"/>
              </w:rPr>
            </w:pPr>
            <w:r>
              <w:rPr>
                <w:b/>
                <w:bCs/>
                <w:sz w:val="18"/>
                <w:szCs w:val="18"/>
                <w:u w:val="single"/>
              </w:rPr>
              <w:t>90,24</w:t>
            </w:r>
            <w:r w:rsidR="00BC2132" w:rsidRPr="00BC2132">
              <w:rPr>
                <w:b/>
                <w:bCs/>
                <w:sz w:val="18"/>
                <w:szCs w:val="18"/>
                <w:u w:val="single"/>
              </w:rPr>
              <w:t>%</w:t>
            </w:r>
          </w:p>
        </w:tc>
        <w:tc>
          <w:tcPr>
            <w:tcW w:w="1843" w:type="dxa"/>
            <w:tcBorders>
              <w:top w:val="nil"/>
              <w:left w:val="nil"/>
              <w:bottom w:val="single" w:sz="4" w:space="0" w:color="auto"/>
              <w:right w:val="single" w:sz="4" w:space="0" w:color="auto"/>
            </w:tcBorders>
            <w:shd w:val="clear" w:color="000000" w:fill="FFC000"/>
            <w:vAlign w:val="center"/>
            <w:hideMark/>
          </w:tcPr>
          <w:p w:rsidR="00BC2132" w:rsidRPr="00BC2132" w:rsidRDefault="00BC2132" w:rsidP="00BC2132">
            <w:pPr>
              <w:ind w:firstLine="0"/>
              <w:jc w:val="center"/>
              <w:rPr>
                <w:b/>
                <w:bCs/>
                <w:sz w:val="18"/>
                <w:szCs w:val="18"/>
                <w:u w:val="single"/>
              </w:rPr>
            </w:pPr>
            <w:r w:rsidRPr="00BC2132">
              <w:rPr>
                <w:b/>
                <w:bCs/>
                <w:sz w:val="18"/>
                <w:szCs w:val="18"/>
                <w:u w:val="single"/>
              </w:rPr>
              <w:t>Ниже среднего</w:t>
            </w:r>
          </w:p>
        </w:tc>
      </w:tr>
      <w:tr w:rsidR="00BC2132" w:rsidRPr="00BC2132" w:rsidTr="00BC213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0"/>
        </w:trPr>
        <w:tc>
          <w:tcPr>
            <w:tcW w:w="567" w:type="dxa"/>
            <w:tcBorders>
              <w:top w:val="nil"/>
              <w:left w:val="single" w:sz="4" w:space="0" w:color="auto"/>
              <w:bottom w:val="single" w:sz="4" w:space="0" w:color="auto"/>
              <w:right w:val="single" w:sz="4" w:space="0" w:color="auto"/>
            </w:tcBorders>
          </w:tcPr>
          <w:p w:rsidR="00BC2132" w:rsidRPr="00BC2132" w:rsidRDefault="00BC2132" w:rsidP="00BC2132">
            <w:pPr>
              <w:ind w:firstLine="0"/>
              <w:jc w:val="center"/>
              <w:rPr>
                <w:bCs/>
                <w:sz w:val="24"/>
                <w:szCs w:val="24"/>
              </w:rPr>
            </w:pPr>
            <w:r w:rsidRPr="00BC2132">
              <w:rPr>
                <w:bCs/>
                <w:sz w:val="24"/>
                <w:szCs w:val="24"/>
              </w:rPr>
              <w:t>8</w:t>
            </w:r>
          </w:p>
        </w:tc>
        <w:tc>
          <w:tcPr>
            <w:tcW w:w="5812" w:type="dxa"/>
            <w:tcBorders>
              <w:top w:val="nil"/>
              <w:left w:val="single" w:sz="4" w:space="0" w:color="auto"/>
              <w:bottom w:val="single" w:sz="4" w:space="0" w:color="auto"/>
              <w:right w:val="single" w:sz="4" w:space="0" w:color="auto"/>
            </w:tcBorders>
            <w:shd w:val="clear" w:color="auto" w:fill="auto"/>
            <w:vAlign w:val="center"/>
            <w:hideMark/>
          </w:tcPr>
          <w:p w:rsidR="00BC2132" w:rsidRPr="00BC2132" w:rsidRDefault="00501EE5" w:rsidP="00501EE5">
            <w:pPr>
              <w:ind w:firstLine="0"/>
              <w:jc w:val="left"/>
              <w:rPr>
                <w:bCs/>
                <w:sz w:val="22"/>
              </w:rPr>
            </w:pPr>
            <w:r>
              <w:rPr>
                <w:bCs/>
                <w:sz w:val="22"/>
              </w:rPr>
              <w:t>«</w:t>
            </w:r>
            <w:r w:rsidR="00BC2132" w:rsidRPr="00BC2132">
              <w:rPr>
                <w:bCs/>
                <w:sz w:val="22"/>
              </w:rPr>
              <w:t>Формирование современной городской среды Мурманской области</w:t>
            </w:r>
            <w:r>
              <w:rPr>
                <w:bCs/>
                <w:sz w:val="22"/>
              </w:rPr>
              <w:t>»</w:t>
            </w:r>
            <w:r w:rsidR="00BC2132" w:rsidRPr="00BC2132">
              <w:rPr>
                <w:sz w:val="22"/>
              </w:rPr>
              <w:t xml:space="preserve"> (Минград МО)</w:t>
            </w:r>
          </w:p>
        </w:tc>
        <w:tc>
          <w:tcPr>
            <w:tcW w:w="1560" w:type="dxa"/>
            <w:tcBorders>
              <w:top w:val="nil"/>
              <w:left w:val="nil"/>
              <w:bottom w:val="single" w:sz="4" w:space="0" w:color="auto"/>
              <w:right w:val="single" w:sz="4" w:space="0" w:color="auto"/>
            </w:tcBorders>
            <w:shd w:val="clear" w:color="000000" w:fill="99FF99"/>
            <w:vAlign w:val="center"/>
            <w:hideMark/>
          </w:tcPr>
          <w:p w:rsidR="00BC2132" w:rsidRPr="00BC2132" w:rsidRDefault="00BC2132" w:rsidP="00BC2132">
            <w:pPr>
              <w:ind w:firstLine="0"/>
              <w:jc w:val="center"/>
              <w:rPr>
                <w:b/>
                <w:bCs/>
                <w:sz w:val="18"/>
                <w:szCs w:val="18"/>
                <w:u w:val="single"/>
              </w:rPr>
            </w:pPr>
            <w:r w:rsidRPr="00BC2132">
              <w:rPr>
                <w:b/>
                <w:bCs/>
                <w:sz w:val="18"/>
                <w:szCs w:val="18"/>
                <w:u w:val="single"/>
              </w:rPr>
              <w:t>100,0%</w:t>
            </w:r>
          </w:p>
        </w:tc>
        <w:tc>
          <w:tcPr>
            <w:tcW w:w="1559" w:type="dxa"/>
            <w:tcBorders>
              <w:top w:val="nil"/>
              <w:left w:val="nil"/>
              <w:bottom w:val="single" w:sz="4" w:space="0" w:color="auto"/>
              <w:right w:val="single" w:sz="4" w:space="0" w:color="auto"/>
            </w:tcBorders>
            <w:shd w:val="clear" w:color="000000" w:fill="99FF99"/>
            <w:vAlign w:val="center"/>
            <w:hideMark/>
          </w:tcPr>
          <w:p w:rsidR="00BC2132" w:rsidRPr="00BC2132" w:rsidRDefault="00BC2132" w:rsidP="00BC2132">
            <w:pPr>
              <w:ind w:firstLine="0"/>
              <w:jc w:val="center"/>
              <w:rPr>
                <w:b/>
                <w:bCs/>
                <w:sz w:val="18"/>
                <w:szCs w:val="18"/>
                <w:u w:val="single"/>
              </w:rPr>
            </w:pPr>
            <w:r w:rsidRPr="00BC2132">
              <w:rPr>
                <w:b/>
                <w:bCs/>
                <w:sz w:val="18"/>
                <w:szCs w:val="18"/>
                <w:u w:val="single"/>
              </w:rPr>
              <w:t>114,2%</w:t>
            </w:r>
          </w:p>
        </w:tc>
        <w:tc>
          <w:tcPr>
            <w:tcW w:w="1701" w:type="dxa"/>
            <w:tcBorders>
              <w:top w:val="nil"/>
              <w:left w:val="nil"/>
              <w:bottom w:val="single" w:sz="4" w:space="0" w:color="auto"/>
              <w:right w:val="single" w:sz="4" w:space="0" w:color="auto"/>
            </w:tcBorders>
            <w:shd w:val="clear" w:color="000000" w:fill="FFC000"/>
            <w:vAlign w:val="center"/>
            <w:hideMark/>
          </w:tcPr>
          <w:p w:rsidR="00BC2132" w:rsidRPr="00BC2132" w:rsidRDefault="00BC2132" w:rsidP="00BC2132">
            <w:pPr>
              <w:ind w:firstLine="0"/>
              <w:jc w:val="center"/>
              <w:rPr>
                <w:b/>
                <w:bCs/>
                <w:sz w:val="18"/>
                <w:szCs w:val="18"/>
                <w:u w:val="single"/>
              </w:rPr>
            </w:pPr>
            <w:r w:rsidRPr="00BC2132">
              <w:rPr>
                <w:b/>
                <w:bCs/>
                <w:sz w:val="18"/>
                <w:szCs w:val="18"/>
                <w:u w:val="single"/>
              </w:rPr>
              <w:t>90,9%</w:t>
            </w:r>
          </w:p>
        </w:tc>
        <w:tc>
          <w:tcPr>
            <w:tcW w:w="1984" w:type="dxa"/>
            <w:tcBorders>
              <w:top w:val="nil"/>
              <w:left w:val="nil"/>
              <w:bottom w:val="single" w:sz="4" w:space="0" w:color="auto"/>
              <w:right w:val="single" w:sz="4" w:space="0" w:color="auto"/>
            </w:tcBorders>
            <w:shd w:val="clear" w:color="000000" w:fill="99FF99"/>
            <w:vAlign w:val="center"/>
            <w:hideMark/>
          </w:tcPr>
          <w:p w:rsidR="00BC2132" w:rsidRPr="00BC2132" w:rsidRDefault="00BC2132" w:rsidP="00BC2132">
            <w:pPr>
              <w:ind w:firstLine="0"/>
              <w:jc w:val="center"/>
              <w:rPr>
                <w:b/>
                <w:bCs/>
                <w:sz w:val="18"/>
                <w:szCs w:val="18"/>
                <w:u w:val="single"/>
              </w:rPr>
            </w:pPr>
            <w:r w:rsidRPr="00BC2132">
              <w:rPr>
                <w:b/>
                <w:bCs/>
                <w:sz w:val="18"/>
                <w:szCs w:val="18"/>
                <w:u w:val="single"/>
              </w:rPr>
              <w:t>100,73%</w:t>
            </w:r>
          </w:p>
        </w:tc>
        <w:tc>
          <w:tcPr>
            <w:tcW w:w="1843" w:type="dxa"/>
            <w:tcBorders>
              <w:top w:val="nil"/>
              <w:left w:val="nil"/>
              <w:bottom w:val="single" w:sz="4" w:space="0" w:color="auto"/>
              <w:right w:val="single" w:sz="4" w:space="0" w:color="auto"/>
            </w:tcBorders>
            <w:shd w:val="clear" w:color="000000" w:fill="99FF99"/>
            <w:vAlign w:val="center"/>
            <w:hideMark/>
          </w:tcPr>
          <w:p w:rsidR="00BC2132" w:rsidRPr="00BC2132" w:rsidRDefault="00BC2132" w:rsidP="00BC2132">
            <w:pPr>
              <w:ind w:firstLine="0"/>
              <w:jc w:val="center"/>
              <w:rPr>
                <w:b/>
                <w:bCs/>
                <w:sz w:val="18"/>
                <w:szCs w:val="18"/>
                <w:u w:val="single"/>
              </w:rPr>
            </w:pPr>
            <w:r w:rsidRPr="00BC2132">
              <w:rPr>
                <w:b/>
                <w:bCs/>
                <w:sz w:val="18"/>
                <w:szCs w:val="18"/>
                <w:u w:val="single"/>
              </w:rPr>
              <w:t>Высокая</w:t>
            </w:r>
          </w:p>
        </w:tc>
      </w:tr>
      <w:tr w:rsidR="00BC2132" w:rsidRPr="00BC2132" w:rsidTr="00BC213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0"/>
        </w:trPr>
        <w:tc>
          <w:tcPr>
            <w:tcW w:w="567" w:type="dxa"/>
            <w:tcBorders>
              <w:top w:val="nil"/>
              <w:left w:val="single" w:sz="4" w:space="0" w:color="auto"/>
              <w:bottom w:val="single" w:sz="4" w:space="0" w:color="auto"/>
              <w:right w:val="single" w:sz="4" w:space="0" w:color="auto"/>
            </w:tcBorders>
          </w:tcPr>
          <w:p w:rsidR="00BC2132" w:rsidRPr="00BC2132" w:rsidRDefault="00BC2132" w:rsidP="00BC2132">
            <w:pPr>
              <w:ind w:firstLine="0"/>
              <w:jc w:val="center"/>
              <w:rPr>
                <w:bCs/>
                <w:sz w:val="24"/>
                <w:szCs w:val="24"/>
              </w:rPr>
            </w:pPr>
            <w:r w:rsidRPr="00BC2132">
              <w:rPr>
                <w:bCs/>
                <w:sz w:val="24"/>
                <w:szCs w:val="24"/>
              </w:rPr>
              <w:t>9</w:t>
            </w:r>
          </w:p>
        </w:tc>
        <w:tc>
          <w:tcPr>
            <w:tcW w:w="5812" w:type="dxa"/>
            <w:tcBorders>
              <w:top w:val="nil"/>
              <w:left w:val="single" w:sz="4" w:space="0" w:color="auto"/>
              <w:bottom w:val="single" w:sz="4" w:space="0" w:color="auto"/>
              <w:right w:val="single" w:sz="4" w:space="0" w:color="auto"/>
            </w:tcBorders>
            <w:shd w:val="clear" w:color="auto" w:fill="auto"/>
            <w:vAlign w:val="center"/>
            <w:hideMark/>
          </w:tcPr>
          <w:p w:rsidR="00BC2132" w:rsidRPr="00BC2132" w:rsidRDefault="00501EE5" w:rsidP="00501EE5">
            <w:pPr>
              <w:ind w:firstLine="0"/>
              <w:jc w:val="left"/>
              <w:rPr>
                <w:bCs/>
                <w:sz w:val="22"/>
              </w:rPr>
            </w:pPr>
            <w:r>
              <w:rPr>
                <w:bCs/>
                <w:sz w:val="22"/>
              </w:rPr>
              <w:t>«</w:t>
            </w:r>
            <w:r w:rsidR="00BC2132" w:rsidRPr="00BC2132">
              <w:rPr>
                <w:bCs/>
                <w:sz w:val="22"/>
              </w:rPr>
              <w:t>Обеспечение общественного порядка и безопасности населения региона</w:t>
            </w:r>
            <w:r>
              <w:rPr>
                <w:bCs/>
                <w:sz w:val="22"/>
              </w:rPr>
              <w:t>»</w:t>
            </w:r>
            <w:r w:rsidR="00BC2132" w:rsidRPr="00BC2132">
              <w:rPr>
                <w:sz w:val="22"/>
              </w:rPr>
              <w:t xml:space="preserve"> (Комитет по безопасности МО)</w:t>
            </w:r>
          </w:p>
        </w:tc>
        <w:tc>
          <w:tcPr>
            <w:tcW w:w="1560" w:type="dxa"/>
            <w:tcBorders>
              <w:top w:val="nil"/>
              <w:left w:val="nil"/>
              <w:bottom w:val="single" w:sz="4" w:space="0" w:color="auto"/>
              <w:right w:val="single" w:sz="4" w:space="0" w:color="auto"/>
            </w:tcBorders>
            <w:shd w:val="clear" w:color="000000" w:fill="99FF99"/>
            <w:vAlign w:val="center"/>
            <w:hideMark/>
          </w:tcPr>
          <w:p w:rsidR="00BC2132" w:rsidRPr="00BC2132" w:rsidRDefault="00BC2132" w:rsidP="00BC2132">
            <w:pPr>
              <w:ind w:firstLine="0"/>
              <w:jc w:val="center"/>
              <w:rPr>
                <w:b/>
                <w:bCs/>
                <w:sz w:val="18"/>
                <w:szCs w:val="18"/>
                <w:u w:val="single"/>
              </w:rPr>
            </w:pPr>
            <w:r w:rsidRPr="00BC2132">
              <w:rPr>
                <w:b/>
                <w:bCs/>
                <w:sz w:val="18"/>
                <w:szCs w:val="18"/>
                <w:u w:val="single"/>
              </w:rPr>
              <w:t>97,1%</w:t>
            </w:r>
          </w:p>
        </w:tc>
        <w:tc>
          <w:tcPr>
            <w:tcW w:w="1559" w:type="dxa"/>
            <w:tcBorders>
              <w:top w:val="nil"/>
              <w:left w:val="nil"/>
              <w:bottom w:val="single" w:sz="4" w:space="0" w:color="auto"/>
              <w:right w:val="single" w:sz="4" w:space="0" w:color="auto"/>
            </w:tcBorders>
            <w:shd w:val="clear" w:color="000000" w:fill="99FF99"/>
            <w:vAlign w:val="center"/>
            <w:hideMark/>
          </w:tcPr>
          <w:p w:rsidR="00BC2132" w:rsidRPr="00BC2132" w:rsidRDefault="00BC2132" w:rsidP="00BC2132">
            <w:pPr>
              <w:ind w:firstLine="0"/>
              <w:jc w:val="center"/>
              <w:rPr>
                <w:b/>
                <w:bCs/>
                <w:sz w:val="18"/>
                <w:szCs w:val="18"/>
                <w:u w:val="single"/>
              </w:rPr>
            </w:pPr>
            <w:r w:rsidRPr="00BC2132">
              <w:rPr>
                <w:b/>
                <w:bCs/>
                <w:sz w:val="18"/>
                <w:szCs w:val="18"/>
                <w:u w:val="single"/>
              </w:rPr>
              <w:t>107,1%</w:t>
            </w:r>
          </w:p>
        </w:tc>
        <w:tc>
          <w:tcPr>
            <w:tcW w:w="1701" w:type="dxa"/>
            <w:tcBorders>
              <w:top w:val="nil"/>
              <w:left w:val="nil"/>
              <w:bottom w:val="single" w:sz="4" w:space="0" w:color="auto"/>
              <w:right w:val="single" w:sz="4" w:space="0" w:color="auto"/>
            </w:tcBorders>
            <w:shd w:val="clear" w:color="000000" w:fill="E6B9B8"/>
            <w:vAlign w:val="center"/>
            <w:hideMark/>
          </w:tcPr>
          <w:p w:rsidR="00BC2132" w:rsidRPr="00BC2132" w:rsidRDefault="00BC2132" w:rsidP="00BC2132">
            <w:pPr>
              <w:ind w:firstLine="0"/>
              <w:jc w:val="center"/>
              <w:rPr>
                <w:b/>
                <w:bCs/>
                <w:sz w:val="18"/>
                <w:szCs w:val="18"/>
                <w:u w:val="single"/>
              </w:rPr>
            </w:pPr>
            <w:r w:rsidRPr="00BC2132">
              <w:rPr>
                <w:b/>
                <w:bCs/>
                <w:sz w:val="18"/>
                <w:szCs w:val="18"/>
                <w:u w:val="single"/>
              </w:rPr>
              <w:t>82,6%</w:t>
            </w:r>
          </w:p>
        </w:tc>
        <w:tc>
          <w:tcPr>
            <w:tcW w:w="1984" w:type="dxa"/>
            <w:tcBorders>
              <w:top w:val="nil"/>
              <w:left w:val="nil"/>
              <w:bottom w:val="single" w:sz="4" w:space="0" w:color="auto"/>
              <w:right w:val="single" w:sz="4" w:space="0" w:color="auto"/>
            </w:tcBorders>
            <w:shd w:val="clear" w:color="000000" w:fill="FFFF00"/>
            <w:vAlign w:val="center"/>
            <w:hideMark/>
          </w:tcPr>
          <w:p w:rsidR="00BC2132" w:rsidRPr="00BC2132" w:rsidRDefault="00BC2132" w:rsidP="00BC2132">
            <w:pPr>
              <w:ind w:firstLine="0"/>
              <w:jc w:val="center"/>
              <w:rPr>
                <w:b/>
                <w:bCs/>
                <w:sz w:val="18"/>
                <w:szCs w:val="18"/>
                <w:u w:val="single"/>
              </w:rPr>
            </w:pPr>
            <w:r w:rsidRPr="00BC2132">
              <w:rPr>
                <w:b/>
                <w:bCs/>
                <w:sz w:val="18"/>
                <w:szCs w:val="18"/>
                <w:u w:val="single"/>
              </w:rPr>
              <w:t>94,48%</w:t>
            </w:r>
          </w:p>
        </w:tc>
        <w:tc>
          <w:tcPr>
            <w:tcW w:w="1843" w:type="dxa"/>
            <w:tcBorders>
              <w:top w:val="nil"/>
              <w:left w:val="nil"/>
              <w:bottom w:val="single" w:sz="4" w:space="0" w:color="auto"/>
              <w:right w:val="single" w:sz="4" w:space="0" w:color="auto"/>
            </w:tcBorders>
            <w:shd w:val="clear" w:color="000000" w:fill="FFFF00"/>
            <w:vAlign w:val="center"/>
            <w:hideMark/>
          </w:tcPr>
          <w:p w:rsidR="00BC2132" w:rsidRPr="00BC2132" w:rsidRDefault="00BC2132" w:rsidP="00BC2132">
            <w:pPr>
              <w:ind w:firstLine="0"/>
              <w:jc w:val="center"/>
              <w:rPr>
                <w:b/>
                <w:bCs/>
                <w:sz w:val="18"/>
                <w:szCs w:val="18"/>
                <w:u w:val="single"/>
              </w:rPr>
            </w:pPr>
            <w:r w:rsidRPr="00BC2132">
              <w:rPr>
                <w:b/>
                <w:bCs/>
                <w:sz w:val="18"/>
                <w:szCs w:val="18"/>
                <w:u w:val="single"/>
              </w:rPr>
              <w:t>Средняя</w:t>
            </w:r>
          </w:p>
        </w:tc>
      </w:tr>
      <w:tr w:rsidR="00BC2132" w:rsidRPr="00BC2132" w:rsidTr="00BC213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0"/>
        </w:trPr>
        <w:tc>
          <w:tcPr>
            <w:tcW w:w="567" w:type="dxa"/>
            <w:tcBorders>
              <w:top w:val="nil"/>
              <w:left w:val="single" w:sz="4" w:space="0" w:color="auto"/>
              <w:bottom w:val="single" w:sz="4" w:space="0" w:color="auto"/>
              <w:right w:val="single" w:sz="4" w:space="0" w:color="auto"/>
            </w:tcBorders>
          </w:tcPr>
          <w:p w:rsidR="00BC2132" w:rsidRPr="00BC2132" w:rsidRDefault="00BC2132" w:rsidP="00BC2132">
            <w:pPr>
              <w:ind w:firstLine="0"/>
              <w:jc w:val="center"/>
              <w:rPr>
                <w:bCs/>
                <w:sz w:val="24"/>
                <w:szCs w:val="24"/>
              </w:rPr>
            </w:pPr>
            <w:r w:rsidRPr="00BC2132">
              <w:rPr>
                <w:bCs/>
                <w:sz w:val="24"/>
                <w:szCs w:val="24"/>
              </w:rPr>
              <w:t>10</w:t>
            </w:r>
          </w:p>
        </w:tc>
        <w:tc>
          <w:tcPr>
            <w:tcW w:w="5812" w:type="dxa"/>
            <w:tcBorders>
              <w:top w:val="nil"/>
              <w:left w:val="single" w:sz="4" w:space="0" w:color="auto"/>
              <w:bottom w:val="single" w:sz="4" w:space="0" w:color="auto"/>
              <w:right w:val="single" w:sz="4" w:space="0" w:color="auto"/>
            </w:tcBorders>
            <w:shd w:val="clear" w:color="auto" w:fill="auto"/>
            <w:vAlign w:val="center"/>
            <w:hideMark/>
          </w:tcPr>
          <w:p w:rsidR="00BC2132" w:rsidRPr="00BC2132" w:rsidRDefault="00501EE5" w:rsidP="00BC2132">
            <w:pPr>
              <w:ind w:firstLine="0"/>
              <w:jc w:val="left"/>
              <w:rPr>
                <w:bCs/>
                <w:sz w:val="22"/>
              </w:rPr>
            </w:pPr>
            <w:r>
              <w:rPr>
                <w:bCs/>
                <w:sz w:val="22"/>
              </w:rPr>
              <w:t>«</w:t>
            </w:r>
            <w:r w:rsidR="00BC2132" w:rsidRPr="00BC2132">
              <w:rPr>
                <w:bCs/>
                <w:sz w:val="22"/>
              </w:rPr>
              <w:t>Охрана окружающей среды и вос</w:t>
            </w:r>
            <w:r>
              <w:rPr>
                <w:bCs/>
                <w:sz w:val="22"/>
              </w:rPr>
              <w:t>производство природных ресурсов»</w:t>
            </w:r>
            <w:r w:rsidR="00BC2132" w:rsidRPr="00BC2132">
              <w:rPr>
                <w:sz w:val="22"/>
              </w:rPr>
              <w:t xml:space="preserve"> (Минприроды МО)</w:t>
            </w:r>
          </w:p>
        </w:tc>
        <w:tc>
          <w:tcPr>
            <w:tcW w:w="1560" w:type="dxa"/>
            <w:tcBorders>
              <w:top w:val="nil"/>
              <w:left w:val="nil"/>
              <w:bottom w:val="single" w:sz="4" w:space="0" w:color="auto"/>
              <w:right w:val="single" w:sz="4" w:space="0" w:color="auto"/>
            </w:tcBorders>
            <w:shd w:val="clear" w:color="000000" w:fill="E6B9B8"/>
            <w:vAlign w:val="center"/>
            <w:hideMark/>
          </w:tcPr>
          <w:p w:rsidR="00BC2132" w:rsidRPr="00BC2132" w:rsidRDefault="00BC2132" w:rsidP="00BC2132">
            <w:pPr>
              <w:ind w:firstLine="0"/>
              <w:jc w:val="center"/>
              <w:rPr>
                <w:b/>
                <w:bCs/>
                <w:sz w:val="18"/>
                <w:szCs w:val="18"/>
                <w:u w:val="single"/>
              </w:rPr>
            </w:pPr>
            <w:r w:rsidRPr="00BC2132">
              <w:rPr>
                <w:b/>
                <w:bCs/>
                <w:sz w:val="18"/>
                <w:szCs w:val="18"/>
                <w:u w:val="single"/>
              </w:rPr>
              <w:t>86,5%</w:t>
            </w:r>
          </w:p>
        </w:tc>
        <w:tc>
          <w:tcPr>
            <w:tcW w:w="1559" w:type="dxa"/>
            <w:tcBorders>
              <w:top w:val="nil"/>
              <w:left w:val="nil"/>
              <w:bottom w:val="single" w:sz="4" w:space="0" w:color="auto"/>
              <w:right w:val="single" w:sz="4" w:space="0" w:color="auto"/>
            </w:tcBorders>
            <w:shd w:val="clear" w:color="000000" w:fill="99FF99"/>
            <w:vAlign w:val="center"/>
            <w:hideMark/>
          </w:tcPr>
          <w:p w:rsidR="00BC2132" w:rsidRPr="00BC2132" w:rsidRDefault="00BC2132" w:rsidP="00BC2132">
            <w:pPr>
              <w:ind w:firstLine="0"/>
              <w:jc w:val="center"/>
              <w:rPr>
                <w:b/>
                <w:bCs/>
                <w:sz w:val="18"/>
                <w:szCs w:val="18"/>
                <w:u w:val="single"/>
              </w:rPr>
            </w:pPr>
            <w:r w:rsidRPr="00BC2132">
              <w:rPr>
                <w:b/>
                <w:bCs/>
                <w:sz w:val="18"/>
                <w:szCs w:val="18"/>
                <w:u w:val="single"/>
              </w:rPr>
              <w:t>104,8%</w:t>
            </w:r>
          </w:p>
        </w:tc>
        <w:tc>
          <w:tcPr>
            <w:tcW w:w="1701" w:type="dxa"/>
            <w:tcBorders>
              <w:top w:val="nil"/>
              <w:left w:val="nil"/>
              <w:bottom w:val="single" w:sz="4" w:space="0" w:color="auto"/>
              <w:right w:val="single" w:sz="4" w:space="0" w:color="auto"/>
            </w:tcBorders>
            <w:shd w:val="clear" w:color="000000" w:fill="E6B9B8"/>
            <w:vAlign w:val="center"/>
            <w:hideMark/>
          </w:tcPr>
          <w:p w:rsidR="00BC2132" w:rsidRPr="00BC2132" w:rsidRDefault="003D2FBD" w:rsidP="00BC2132">
            <w:pPr>
              <w:ind w:firstLine="0"/>
              <w:jc w:val="center"/>
              <w:rPr>
                <w:b/>
                <w:bCs/>
                <w:sz w:val="18"/>
                <w:szCs w:val="18"/>
                <w:u w:val="single"/>
              </w:rPr>
            </w:pPr>
            <w:r>
              <w:rPr>
                <w:b/>
                <w:bCs/>
                <w:sz w:val="18"/>
                <w:szCs w:val="18"/>
                <w:u w:val="single"/>
              </w:rPr>
              <w:t>79,7</w:t>
            </w:r>
            <w:r w:rsidR="00BC2132" w:rsidRPr="00BC2132">
              <w:rPr>
                <w:b/>
                <w:bCs/>
                <w:sz w:val="18"/>
                <w:szCs w:val="18"/>
                <w:u w:val="single"/>
              </w:rPr>
              <w:t>%</w:t>
            </w:r>
          </w:p>
        </w:tc>
        <w:tc>
          <w:tcPr>
            <w:tcW w:w="1984" w:type="dxa"/>
            <w:tcBorders>
              <w:top w:val="nil"/>
              <w:left w:val="nil"/>
              <w:bottom w:val="single" w:sz="4" w:space="0" w:color="auto"/>
              <w:right w:val="single" w:sz="4" w:space="0" w:color="auto"/>
            </w:tcBorders>
            <w:shd w:val="clear" w:color="000000" w:fill="FFC000"/>
            <w:vAlign w:val="center"/>
            <w:hideMark/>
          </w:tcPr>
          <w:p w:rsidR="00BC2132" w:rsidRPr="00BC2132" w:rsidRDefault="00BB7BD6" w:rsidP="00BC2132">
            <w:pPr>
              <w:ind w:firstLine="0"/>
              <w:jc w:val="center"/>
              <w:rPr>
                <w:b/>
                <w:bCs/>
                <w:sz w:val="18"/>
                <w:szCs w:val="18"/>
                <w:u w:val="single"/>
              </w:rPr>
            </w:pPr>
            <w:r>
              <w:rPr>
                <w:b/>
                <w:bCs/>
                <w:sz w:val="18"/>
                <w:szCs w:val="18"/>
                <w:u w:val="single"/>
              </w:rPr>
              <w:t>89,46</w:t>
            </w:r>
            <w:r w:rsidR="00BC2132" w:rsidRPr="00BC2132">
              <w:rPr>
                <w:b/>
                <w:bCs/>
                <w:sz w:val="18"/>
                <w:szCs w:val="18"/>
                <w:u w:val="single"/>
              </w:rPr>
              <w:t>%</w:t>
            </w:r>
          </w:p>
        </w:tc>
        <w:tc>
          <w:tcPr>
            <w:tcW w:w="1843" w:type="dxa"/>
            <w:tcBorders>
              <w:top w:val="nil"/>
              <w:left w:val="nil"/>
              <w:bottom w:val="single" w:sz="4" w:space="0" w:color="auto"/>
              <w:right w:val="single" w:sz="4" w:space="0" w:color="auto"/>
            </w:tcBorders>
            <w:shd w:val="clear" w:color="000000" w:fill="FFC000"/>
            <w:vAlign w:val="center"/>
            <w:hideMark/>
          </w:tcPr>
          <w:p w:rsidR="00BC2132" w:rsidRPr="00BC2132" w:rsidRDefault="00BC2132" w:rsidP="00BC2132">
            <w:pPr>
              <w:ind w:firstLine="0"/>
              <w:jc w:val="center"/>
              <w:rPr>
                <w:b/>
                <w:bCs/>
                <w:sz w:val="18"/>
                <w:szCs w:val="18"/>
                <w:u w:val="single"/>
              </w:rPr>
            </w:pPr>
            <w:r w:rsidRPr="00BC2132">
              <w:rPr>
                <w:b/>
                <w:bCs/>
                <w:sz w:val="18"/>
                <w:szCs w:val="18"/>
                <w:u w:val="single"/>
              </w:rPr>
              <w:t>Ниже среднего</w:t>
            </w:r>
          </w:p>
        </w:tc>
      </w:tr>
      <w:tr w:rsidR="00BC2132" w:rsidRPr="00BC2132" w:rsidTr="00BC213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38"/>
        </w:trPr>
        <w:tc>
          <w:tcPr>
            <w:tcW w:w="567" w:type="dxa"/>
            <w:tcBorders>
              <w:top w:val="nil"/>
              <w:left w:val="single" w:sz="4" w:space="0" w:color="auto"/>
              <w:bottom w:val="single" w:sz="4" w:space="0" w:color="auto"/>
              <w:right w:val="single" w:sz="4" w:space="0" w:color="auto"/>
            </w:tcBorders>
          </w:tcPr>
          <w:p w:rsidR="00BC2132" w:rsidRPr="00BC2132" w:rsidRDefault="00BC2132" w:rsidP="00BC2132">
            <w:pPr>
              <w:ind w:firstLine="0"/>
              <w:jc w:val="center"/>
              <w:rPr>
                <w:bCs/>
                <w:sz w:val="24"/>
                <w:szCs w:val="24"/>
              </w:rPr>
            </w:pPr>
            <w:r w:rsidRPr="00BC2132">
              <w:rPr>
                <w:bCs/>
                <w:sz w:val="24"/>
                <w:szCs w:val="24"/>
              </w:rPr>
              <w:t>11</w:t>
            </w:r>
          </w:p>
        </w:tc>
        <w:tc>
          <w:tcPr>
            <w:tcW w:w="5812" w:type="dxa"/>
            <w:tcBorders>
              <w:top w:val="nil"/>
              <w:left w:val="single" w:sz="4" w:space="0" w:color="auto"/>
              <w:bottom w:val="single" w:sz="4" w:space="0" w:color="auto"/>
              <w:right w:val="single" w:sz="4" w:space="0" w:color="auto"/>
            </w:tcBorders>
            <w:shd w:val="clear" w:color="auto" w:fill="auto"/>
            <w:vAlign w:val="center"/>
            <w:hideMark/>
          </w:tcPr>
          <w:p w:rsidR="00BC2132" w:rsidRPr="00BC2132" w:rsidRDefault="00501EE5" w:rsidP="00501EE5">
            <w:pPr>
              <w:ind w:firstLine="0"/>
              <w:jc w:val="left"/>
              <w:rPr>
                <w:bCs/>
                <w:sz w:val="22"/>
              </w:rPr>
            </w:pPr>
            <w:r>
              <w:rPr>
                <w:bCs/>
                <w:sz w:val="22"/>
              </w:rPr>
              <w:t>«</w:t>
            </w:r>
            <w:r w:rsidR="00BC2132" w:rsidRPr="00BC2132">
              <w:rPr>
                <w:bCs/>
                <w:sz w:val="22"/>
              </w:rPr>
              <w:t>Развитие рыбного и сельского хозяйства, регулирование рынков сельскохозяйственной продукции, сырья и продовольствия</w:t>
            </w:r>
            <w:r>
              <w:rPr>
                <w:bCs/>
                <w:sz w:val="22"/>
              </w:rPr>
              <w:t>»</w:t>
            </w:r>
            <w:r w:rsidR="00BC2132" w:rsidRPr="00BC2132">
              <w:rPr>
                <w:bCs/>
                <w:sz w:val="22"/>
              </w:rPr>
              <w:t xml:space="preserve"> </w:t>
            </w:r>
            <w:r w:rsidR="00BC2132" w:rsidRPr="00BC2132">
              <w:rPr>
                <w:sz w:val="22"/>
              </w:rPr>
              <w:t>(Мининвест МО)</w:t>
            </w:r>
          </w:p>
        </w:tc>
        <w:tc>
          <w:tcPr>
            <w:tcW w:w="1560" w:type="dxa"/>
            <w:tcBorders>
              <w:top w:val="nil"/>
              <w:left w:val="nil"/>
              <w:bottom w:val="single" w:sz="4" w:space="0" w:color="auto"/>
              <w:right w:val="single" w:sz="4" w:space="0" w:color="auto"/>
            </w:tcBorders>
            <w:shd w:val="clear" w:color="000000" w:fill="FFFF00"/>
            <w:vAlign w:val="center"/>
            <w:hideMark/>
          </w:tcPr>
          <w:p w:rsidR="00BC2132" w:rsidRPr="00BC2132" w:rsidRDefault="00BC2132" w:rsidP="00BC2132">
            <w:pPr>
              <w:ind w:firstLine="0"/>
              <w:jc w:val="center"/>
              <w:rPr>
                <w:b/>
                <w:bCs/>
                <w:sz w:val="18"/>
                <w:szCs w:val="18"/>
                <w:u w:val="single"/>
              </w:rPr>
            </w:pPr>
            <w:r w:rsidRPr="00BC2132">
              <w:rPr>
                <w:b/>
                <w:bCs/>
                <w:sz w:val="18"/>
                <w:szCs w:val="18"/>
                <w:u w:val="single"/>
              </w:rPr>
              <w:t>95,8%</w:t>
            </w:r>
          </w:p>
        </w:tc>
        <w:tc>
          <w:tcPr>
            <w:tcW w:w="1559" w:type="dxa"/>
            <w:tcBorders>
              <w:top w:val="nil"/>
              <w:left w:val="nil"/>
              <w:bottom w:val="single" w:sz="4" w:space="0" w:color="auto"/>
              <w:right w:val="single" w:sz="4" w:space="0" w:color="auto"/>
            </w:tcBorders>
            <w:shd w:val="clear" w:color="000000" w:fill="99FF99"/>
            <w:vAlign w:val="center"/>
            <w:hideMark/>
          </w:tcPr>
          <w:p w:rsidR="00BC2132" w:rsidRPr="00BC2132" w:rsidRDefault="00BC2132" w:rsidP="00BC2132">
            <w:pPr>
              <w:ind w:firstLine="0"/>
              <w:jc w:val="center"/>
              <w:rPr>
                <w:b/>
                <w:bCs/>
                <w:sz w:val="18"/>
                <w:szCs w:val="18"/>
                <w:u w:val="single"/>
              </w:rPr>
            </w:pPr>
            <w:r w:rsidRPr="00BC2132">
              <w:rPr>
                <w:b/>
                <w:bCs/>
                <w:sz w:val="18"/>
                <w:szCs w:val="18"/>
                <w:u w:val="single"/>
              </w:rPr>
              <w:t>93,6%</w:t>
            </w:r>
          </w:p>
        </w:tc>
        <w:tc>
          <w:tcPr>
            <w:tcW w:w="1701" w:type="dxa"/>
            <w:tcBorders>
              <w:top w:val="nil"/>
              <w:left w:val="nil"/>
              <w:bottom w:val="single" w:sz="4" w:space="0" w:color="auto"/>
              <w:right w:val="single" w:sz="4" w:space="0" w:color="auto"/>
            </w:tcBorders>
            <w:shd w:val="clear" w:color="000000" w:fill="FFC000"/>
            <w:vAlign w:val="center"/>
            <w:hideMark/>
          </w:tcPr>
          <w:p w:rsidR="00BC2132" w:rsidRPr="00BC2132" w:rsidRDefault="00BC2132" w:rsidP="00BC2132">
            <w:pPr>
              <w:ind w:firstLine="0"/>
              <w:jc w:val="center"/>
              <w:rPr>
                <w:b/>
                <w:bCs/>
                <w:sz w:val="18"/>
                <w:szCs w:val="18"/>
                <w:u w:val="single"/>
              </w:rPr>
            </w:pPr>
            <w:r w:rsidRPr="00BC2132">
              <w:rPr>
                <w:b/>
                <w:bCs/>
                <w:sz w:val="18"/>
                <w:szCs w:val="18"/>
                <w:u w:val="single"/>
              </w:rPr>
              <w:t>87,5%</w:t>
            </w:r>
          </w:p>
        </w:tc>
        <w:tc>
          <w:tcPr>
            <w:tcW w:w="1984" w:type="dxa"/>
            <w:tcBorders>
              <w:top w:val="nil"/>
              <w:left w:val="nil"/>
              <w:bottom w:val="single" w:sz="4" w:space="0" w:color="auto"/>
              <w:right w:val="single" w:sz="4" w:space="0" w:color="auto"/>
            </w:tcBorders>
            <w:shd w:val="clear" w:color="000000" w:fill="FFC000"/>
            <w:vAlign w:val="center"/>
            <w:hideMark/>
          </w:tcPr>
          <w:p w:rsidR="00BC2132" w:rsidRPr="00BC2132" w:rsidRDefault="00BC2132" w:rsidP="00BC2132">
            <w:pPr>
              <w:ind w:firstLine="0"/>
              <w:jc w:val="center"/>
              <w:rPr>
                <w:b/>
                <w:bCs/>
                <w:sz w:val="18"/>
                <w:szCs w:val="18"/>
                <w:u w:val="single"/>
              </w:rPr>
            </w:pPr>
            <w:r w:rsidRPr="00BC2132">
              <w:rPr>
                <w:b/>
                <w:bCs/>
                <w:sz w:val="18"/>
                <w:szCs w:val="18"/>
                <w:u w:val="single"/>
              </w:rPr>
              <w:t>91,1%</w:t>
            </w:r>
          </w:p>
        </w:tc>
        <w:tc>
          <w:tcPr>
            <w:tcW w:w="1843" w:type="dxa"/>
            <w:tcBorders>
              <w:top w:val="nil"/>
              <w:left w:val="nil"/>
              <w:bottom w:val="single" w:sz="4" w:space="0" w:color="auto"/>
              <w:right w:val="single" w:sz="4" w:space="0" w:color="auto"/>
            </w:tcBorders>
            <w:shd w:val="clear" w:color="000000" w:fill="FFC000"/>
            <w:vAlign w:val="center"/>
            <w:hideMark/>
          </w:tcPr>
          <w:p w:rsidR="00BC2132" w:rsidRPr="00BC2132" w:rsidRDefault="00BC2132" w:rsidP="00BC2132">
            <w:pPr>
              <w:ind w:firstLine="0"/>
              <w:jc w:val="center"/>
              <w:rPr>
                <w:b/>
                <w:bCs/>
                <w:sz w:val="18"/>
                <w:szCs w:val="18"/>
                <w:u w:val="single"/>
              </w:rPr>
            </w:pPr>
            <w:r w:rsidRPr="00BC2132">
              <w:rPr>
                <w:b/>
                <w:bCs/>
                <w:sz w:val="18"/>
                <w:szCs w:val="18"/>
                <w:u w:val="single"/>
              </w:rPr>
              <w:t>Ниже среднего</w:t>
            </w:r>
          </w:p>
        </w:tc>
      </w:tr>
      <w:tr w:rsidR="00BC2132" w:rsidRPr="00BC2132" w:rsidTr="00BC213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0"/>
        </w:trPr>
        <w:tc>
          <w:tcPr>
            <w:tcW w:w="567" w:type="dxa"/>
            <w:tcBorders>
              <w:top w:val="nil"/>
              <w:left w:val="single" w:sz="4" w:space="0" w:color="auto"/>
              <w:bottom w:val="single" w:sz="4" w:space="0" w:color="auto"/>
              <w:right w:val="single" w:sz="4" w:space="0" w:color="auto"/>
            </w:tcBorders>
          </w:tcPr>
          <w:p w:rsidR="00BC2132" w:rsidRPr="00BC2132" w:rsidRDefault="00BC2132" w:rsidP="00BC2132">
            <w:pPr>
              <w:ind w:firstLine="0"/>
              <w:jc w:val="center"/>
              <w:rPr>
                <w:bCs/>
                <w:sz w:val="24"/>
                <w:szCs w:val="24"/>
              </w:rPr>
            </w:pPr>
            <w:r w:rsidRPr="00BC2132">
              <w:rPr>
                <w:bCs/>
                <w:sz w:val="24"/>
                <w:szCs w:val="24"/>
              </w:rPr>
              <w:t>12</w:t>
            </w:r>
          </w:p>
        </w:tc>
        <w:tc>
          <w:tcPr>
            <w:tcW w:w="5812" w:type="dxa"/>
            <w:tcBorders>
              <w:top w:val="nil"/>
              <w:left w:val="single" w:sz="4" w:space="0" w:color="auto"/>
              <w:bottom w:val="single" w:sz="4" w:space="0" w:color="auto"/>
              <w:right w:val="single" w:sz="4" w:space="0" w:color="auto"/>
            </w:tcBorders>
            <w:shd w:val="clear" w:color="auto" w:fill="auto"/>
            <w:vAlign w:val="center"/>
            <w:hideMark/>
          </w:tcPr>
          <w:p w:rsidR="00BC2132" w:rsidRPr="00BC2132" w:rsidRDefault="00501EE5" w:rsidP="00501EE5">
            <w:pPr>
              <w:ind w:firstLine="0"/>
              <w:jc w:val="left"/>
              <w:rPr>
                <w:bCs/>
                <w:sz w:val="22"/>
              </w:rPr>
            </w:pPr>
            <w:r>
              <w:rPr>
                <w:bCs/>
                <w:sz w:val="22"/>
              </w:rPr>
              <w:t>«</w:t>
            </w:r>
            <w:r w:rsidR="00BC2132" w:rsidRPr="00BC2132">
              <w:rPr>
                <w:bCs/>
                <w:sz w:val="22"/>
              </w:rPr>
              <w:t>Развитие транспортной системы</w:t>
            </w:r>
            <w:r>
              <w:rPr>
                <w:bCs/>
                <w:sz w:val="22"/>
              </w:rPr>
              <w:t>»</w:t>
            </w:r>
            <w:r w:rsidR="00BC2132" w:rsidRPr="00BC2132">
              <w:rPr>
                <w:sz w:val="22"/>
              </w:rPr>
              <w:t xml:space="preserve"> (Минтранс МО)</w:t>
            </w:r>
          </w:p>
        </w:tc>
        <w:tc>
          <w:tcPr>
            <w:tcW w:w="1560" w:type="dxa"/>
            <w:tcBorders>
              <w:top w:val="nil"/>
              <w:left w:val="nil"/>
              <w:bottom w:val="single" w:sz="4" w:space="0" w:color="auto"/>
              <w:right w:val="single" w:sz="4" w:space="0" w:color="auto"/>
            </w:tcBorders>
            <w:shd w:val="clear" w:color="000000" w:fill="99FF99"/>
            <w:vAlign w:val="center"/>
            <w:hideMark/>
          </w:tcPr>
          <w:p w:rsidR="00BC2132" w:rsidRPr="00BC2132" w:rsidRDefault="00BC2132" w:rsidP="00BC2132">
            <w:pPr>
              <w:ind w:firstLine="0"/>
              <w:jc w:val="center"/>
              <w:rPr>
                <w:b/>
                <w:bCs/>
                <w:sz w:val="18"/>
                <w:szCs w:val="18"/>
                <w:u w:val="single"/>
              </w:rPr>
            </w:pPr>
            <w:r w:rsidRPr="00BC2132">
              <w:rPr>
                <w:b/>
                <w:bCs/>
                <w:sz w:val="18"/>
                <w:szCs w:val="18"/>
                <w:u w:val="single"/>
              </w:rPr>
              <w:t>98,7%</w:t>
            </w:r>
          </w:p>
        </w:tc>
        <w:tc>
          <w:tcPr>
            <w:tcW w:w="1559" w:type="dxa"/>
            <w:tcBorders>
              <w:top w:val="nil"/>
              <w:left w:val="nil"/>
              <w:bottom w:val="single" w:sz="4" w:space="0" w:color="auto"/>
              <w:right w:val="single" w:sz="4" w:space="0" w:color="auto"/>
            </w:tcBorders>
            <w:shd w:val="clear" w:color="000000" w:fill="99FF99"/>
            <w:vAlign w:val="center"/>
            <w:hideMark/>
          </w:tcPr>
          <w:p w:rsidR="00BC2132" w:rsidRPr="00BC2132" w:rsidRDefault="00BC2132" w:rsidP="00BC2132">
            <w:pPr>
              <w:ind w:firstLine="0"/>
              <w:jc w:val="center"/>
              <w:rPr>
                <w:b/>
                <w:bCs/>
                <w:sz w:val="18"/>
                <w:szCs w:val="18"/>
                <w:u w:val="single"/>
              </w:rPr>
            </w:pPr>
            <w:r w:rsidRPr="00BC2132">
              <w:rPr>
                <w:b/>
                <w:bCs/>
                <w:sz w:val="18"/>
                <w:szCs w:val="18"/>
                <w:u w:val="single"/>
              </w:rPr>
              <w:t>108,3%</w:t>
            </w:r>
          </w:p>
        </w:tc>
        <w:tc>
          <w:tcPr>
            <w:tcW w:w="1701" w:type="dxa"/>
            <w:tcBorders>
              <w:top w:val="nil"/>
              <w:left w:val="nil"/>
              <w:bottom w:val="single" w:sz="4" w:space="0" w:color="auto"/>
              <w:right w:val="single" w:sz="4" w:space="0" w:color="auto"/>
            </w:tcBorders>
            <w:shd w:val="clear" w:color="000000" w:fill="E6B9B8"/>
            <w:vAlign w:val="center"/>
            <w:hideMark/>
          </w:tcPr>
          <w:p w:rsidR="00BC2132" w:rsidRPr="00BC2132" w:rsidRDefault="003D2FBD" w:rsidP="00BC2132">
            <w:pPr>
              <w:ind w:firstLine="0"/>
              <w:jc w:val="center"/>
              <w:rPr>
                <w:b/>
                <w:bCs/>
                <w:sz w:val="18"/>
                <w:szCs w:val="18"/>
                <w:u w:val="single"/>
              </w:rPr>
            </w:pPr>
            <w:r>
              <w:rPr>
                <w:b/>
                <w:bCs/>
                <w:sz w:val="18"/>
                <w:szCs w:val="18"/>
                <w:u w:val="single"/>
              </w:rPr>
              <w:t>80,1</w:t>
            </w:r>
            <w:r w:rsidR="00BC2132" w:rsidRPr="00BC2132">
              <w:rPr>
                <w:b/>
                <w:bCs/>
                <w:sz w:val="18"/>
                <w:szCs w:val="18"/>
                <w:u w:val="single"/>
              </w:rPr>
              <w:t>%</w:t>
            </w:r>
          </w:p>
        </w:tc>
        <w:tc>
          <w:tcPr>
            <w:tcW w:w="1984" w:type="dxa"/>
            <w:tcBorders>
              <w:top w:val="nil"/>
              <w:left w:val="nil"/>
              <w:bottom w:val="single" w:sz="4" w:space="0" w:color="auto"/>
              <w:right w:val="single" w:sz="4" w:space="0" w:color="auto"/>
            </w:tcBorders>
            <w:shd w:val="clear" w:color="000000" w:fill="FFFF00"/>
            <w:vAlign w:val="center"/>
            <w:hideMark/>
          </w:tcPr>
          <w:p w:rsidR="00BC2132" w:rsidRPr="00BC2132" w:rsidRDefault="00BB7BD6" w:rsidP="00BC2132">
            <w:pPr>
              <w:ind w:firstLine="0"/>
              <w:jc w:val="center"/>
              <w:rPr>
                <w:b/>
                <w:bCs/>
                <w:sz w:val="18"/>
                <w:szCs w:val="18"/>
                <w:u w:val="single"/>
              </w:rPr>
            </w:pPr>
            <w:r>
              <w:rPr>
                <w:b/>
                <w:bCs/>
                <w:sz w:val="18"/>
                <w:szCs w:val="18"/>
                <w:u w:val="single"/>
              </w:rPr>
              <w:t>94,51</w:t>
            </w:r>
            <w:r w:rsidR="00BC2132" w:rsidRPr="00BC2132">
              <w:rPr>
                <w:b/>
                <w:bCs/>
                <w:sz w:val="18"/>
                <w:szCs w:val="18"/>
                <w:u w:val="single"/>
              </w:rPr>
              <w:t>%</w:t>
            </w:r>
          </w:p>
        </w:tc>
        <w:tc>
          <w:tcPr>
            <w:tcW w:w="1843" w:type="dxa"/>
            <w:tcBorders>
              <w:top w:val="nil"/>
              <w:left w:val="nil"/>
              <w:bottom w:val="single" w:sz="4" w:space="0" w:color="auto"/>
              <w:right w:val="single" w:sz="4" w:space="0" w:color="auto"/>
            </w:tcBorders>
            <w:shd w:val="clear" w:color="000000" w:fill="FFFF00"/>
            <w:vAlign w:val="center"/>
            <w:hideMark/>
          </w:tcPr>
          <w:p w:rsidR="00BC2132" w:rsidRPr="00BC2132" w:rsidRDefault="00BC2132" w:rsidP="00BC2132">
            <w:pPr>
              <w:ind w:firstLine="0"/>
              <w:jc w:val="center"/>
              <w:rPr>
                <w:b/>
                <w:bCs/>
                <w:sz w:val="18"/>
                <w:szCs w:val="18"/>
                <w:u w:val="single"/>
              </w:rPr>
            </w:pPr>
            <w:r w:rsidRPr="00BC2132">
              <w:rPr>
                <w:b/>
                <w:bCs/>
                <w:sz w:val="18"/>
                <w:szCs w:val="18"/>
                <w:u w:val="single"/>
              </w:rPr>
              <w:t>Средняя</w:t>
            </w:r>
          </w:p>
        </w:tc>
      </w:tr>
      <w:tr w:rsidR="00BC2132" w:rsidRPr="00BC2132" w:rsidTr="00BC213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443"/>
        </w:trPr>
        <w:tc>
          <w:tcPr>
            <w:tcW w:w="567" w:type="dxa"/>
            <w:tcBorders>
              <w:top w:val="nil"/>
              <w:left w:val="single" w:sz="4" w:space="0" w:color="auto"/>
              <w:bottom w:val="single" w:sz="4" w:space="0" w:color="auto"/>
              <w:right w:val="single" w:sz="4" w:space="0" w:color="auto"/>
            </w:tcBorders>
          </w:tcPr>
          <w:p w:rsidR="00BC2132" w:rsidRPr="00BC2132" w:rsidRDefault="00BC2132" w:rsidP="00BC2132">
            <w:pPr>
              <w:ind w:firstLine="0"/>
              <w:jc w:val="center"/>
              <w:rPr>
                <w:bCs/>
                <w:sz w:val="24"/>
                <w:szCs w:val="24"/>
              </w:rPr>
            </w:pPr>
            <w:r w:rsidRPr="00BC2132">
              <w:rPr>
                <w:bCs/>
                <w:sz w:val="24"/>
                <w:szCs w:val="24"/>
              </w:rPr>
              <w:t>13</w:t>
            </w:r>
          </w:p>
        </w:tc>
        <w:tc>
          <w:tcPr>
            <w:tcW w:w="5812" w:type="dxa"/>
            <w:tcBorders>
              <w:top w:val="nil"/>
              <w:left w:val="single" w:sz="4" w:space="0" w:color="auto"/>
              <w:bottom w:val="single" w:sz="4" w:space="0" w:color="auto"/>
              <w:right w:val="single" w:sz="4" w:space="0" w:color="auto"/>
            </w:tcBorders>
            <w:shd w:val="clear" w:color="auto" w:fill="auto"/>
            <w:vAlign w:val="center"/>
            <w:hideMark/>
          </w:tcPr>
          <w:p w:rsidR="00BC2132" w:rsidRPr="00BC2132" w:rsidRDefault="00501EE5" w:rsidP="00501EE5">
            <w:pPr>
              <w:ind w:firstLine="0"/>
              <w:jc w:val="left"/>
              <w:rPr>
                <w:bCs/>
                <w:sz w:val="22"/>
              </w:rPr>
            </w:pPr>
            <w:r>
              <w:rPr>
                <w:bCs/>
                <w:sz w:val="22"/>
              </w:rPr>
              <w:t>«</w:t>
            </w:r>
            <w:r w:rsidR="00BC2132" w:rsidRPr="00BC2132">
              <w:rPr>
                <w:bCs/>
                <w:sz w:val="22"/>
              </w:rPr>
              <w:t>Развитие экономического потенциала и формирование благоприятного предпринимательского климата</w:t>
            </w:r>
            <w:r>
              <w:rPr>
                <w:bCs/>
                <w:sz w:val="22"/>
              </w:rPr>
              <w:t>»</w:t>
            </w:r>
            <w:r w:rsidR="00BC2132" w:rsidRPr="00BC2132">
              <w:rPr>
                <w:sz w:val="22"/>
              </w:rPr>
              <w:t xml:space="preserve"> (Минэк МО)</w:t>
            </w:r>
          </w:p>
        </w:tc>
        <w:tc>
          <w:tcPr>
            <w:tcW w:w="1560" w:type="dxa"/>
            <w:tcBorders>
              <w:top w:val="nil"/>
              <w:left w:val="nil"/>
              <w:bottom w:val="single" w:sz="4" w:space="0" w:color="auto"/>
              <w:right w:val="single" w:sz="4" w:space="0" w:color="auto"/>
            </w:tcBorders>
            <w:shd w:val="clear" w:color="000000" w:fill="99FF99"/>
            <w:vAlign w:val="center"/>
            <w:hideMark/>
          </w:tcPr>
          <w:p w:rsidR="00BC2132" w:rsidRPr="00BC2132" w:rsidRDefault="00BC2132" w:rsidP="00BC2132">
            <w:pPr>
              <w:ind w:firstLine="0"/>
              <w:jc w:val="center"/>
              <w:rPr>
                <w:b/>
                <w:bCs/>
                <w:sz w:val="18"/>
                <w:szCs w:val="18"/>
                <w:u w:val="single"/>
              </w:rPr>
            </w:pPr>
            <w:r w:rsidRPr="00BC2132">
              <w:rPr>
                <w:b/>
                <w:bCs/>
                <w:sz w:val="18"/>
                <w:szCs w:val="18"/>
                <w:u w:val="single"/>
              </w:rPr>
              <w:t>98,6%</w:t>
            </w:r>
          </w:p>
        </w:tc>
        <w:tc>
          <w:tcPr>
            <w:tcW w:w="1559" w:type="dxa"/>
            <w:tcBorders>
              <w:top w:val="nil"/>
              <w:left w:val="nil"/>
              <w:bottom w:val="single" w:sz="4" w:space="0" w:color="auto"/>
              <w:right w:val="single" w:sz="4" w:space="0" w:color="auto"/>
            </w:tcBorders>
            <w:shd w:val="clear" w:color="000000" w:fill="99FF99"/>
            <w:vAlign w:val="center"/>
            <w:hideMark/>
          </w:tcPr>
          <w:p w:rsidR="00BC2132" w:rsidRPr="00BC2132" w:rsidRDefault="00BC2132" w:rsidP="00BC2132">
            <w:pPr>
              <w:ind w:firstLine="0"/>
              <w:jc w:val="center"/>
              <w:rPr>
                <w:b/>
                <w:bCs/>
                <w:sz w:val="18"/>
                <w:szCs w:val="18"/>
                <w:u w:val="single"/>
              </w:rPr>
            </w:pPr>
            <w:r w:rsidRPr="00BC2132">
              <w:rPr>
                <w:b/>
                <w:bCs/>
                <w:sz w:val="18"/>
                <w:szCs w:val="18"/>
                <w:u w:val="single"/>
              </w:rPr>
              <w:t>98,2%</w:t>
            </w:r>
          </w:p>
        </w:tc>
        <w:tc>
          <w:tcPr>
            <w:tcW w:w="1701" w:type="dxa"/>
            <w:tcBorders>
              <w:top w:val="nil"/>
              <w:left w:val="nil"/>
              <w:bottom w:val="single" w:sz="4" w:space="0" w:color="auto"/>
              <w:right w:val="single" w:sz="4" w:space="0" w:color="auto"/>
            </w:tcBorders>
            <w:shd w:val="clear" w:color="000000" w:fill="FFC000"/>
            <w:vAlign w:val="center"/>
            <w:hideMark/>
          </w:tcPr>
          <w:p w:rsidR="00BC2132" w:rsidRPr="00BC2132" w:rsidRDefault="00BC2132" w:rsidP="00BC2132">
            <w:pPr>
              <w:ind w:firstLine="0"/>
              <w:jc w:val="center"/>
              <w:rPr>
                <w:b/>
                <w:bCs/>
                <w:sz w:val="18"/>
                <w:szCs w:val="18"/>
                <w:u w:val="single"/>
              </w:rPr>
            </w:pPr>
            <w:r w:rsidRPr="00BC2132">
              <w:rPr>
                <w:b/>
                <w:bCs/>
                <w:sz w:val="18"/>
                <w:szCs w:val="18"/>
                <w:u w:val="single"/>
              </w:rPr>
              <w:t>89,5%</w:t>
            </w:r>
          </w:p>
        </w:tc>
        <w:tc>
          <w:tcPr>
            <w:tcW w:w="1984" w:type="dxa"/>
            <w:tcBorders>
              <w:top w:val="nil"/>
              <w:left w:val="nil"/>
              <w:bottom w:val="single" w:sz="4" w:space="0" w:color="auto"/>
              <w:right w:val="single" w:sz="4" w:space="0" w:color="auto"/>
            </w:tcBorders>
            <w:shd w:val="clear" w:color="000000" w:fill="FFFF00"/>
            <w:vAlign w:val="center"/>
            <w:hideMark/>
          </w:tcPr>
          <w:p w:rsidR="00BC2132" w:rsidRPr="00BC2132" w:rsidRDefault="00BC2132" w:rsidP="00BC2132">
            <w:pPr>
              <w:ind w:firstLine="0"/>
              <w:jc w:val="center"/>
              <w:rPr>
                <w:b/>
                <w:bCs/>
                <w:sz w:val="18"/>
                <w:szCs w:val="18"/>
                <w:u w:val="single"/>
              </w:rPr>
            </w:pPr>
            <w:r w:rsidRPr="00BC2132">
              <w:rPr>
                <w:b/>
                <w:bCs/>
                <w:sz w:val="18"/>
                <w:szCs w:val="18"/>
                <w:u w:val="single"/>
              </w:rPr>
              <w:t>94,23%</w:t>
            </w:r>
          </w:p>
        </w:tc>
        <w:tc>
          <w:tcPr>
            <w:tcW w:w="1843" w:type="dxa"/>
            <w:tcBorders>
              <w:top w:val="nil"/>
              <w:left w:val="nil"/>
              <w:bottom w:val="single" w:sz="4" w:space="0" w:color="auto"/>
              <w:right w:val="single" w:sz="4" w:space="0" w:color="auto"/>
            </w:tcBorders>
            <w:shd w:val="clear" w:color="000000" w:fill="FFFF00"/>
            <w:vAlign w:val="center"/>
            <w:hideMark/>
          </w:tcPr>
          <w:p w:rsidR="00BC2132" w:rsidRPr="00BC2132" w:rsidRDefault="00BC2132" w:rsidP="00BC2132">
            <w:pPr>
              <w:ind w:firstLine="0"/>
              <w:jc w:val="center"/>
              <w:rPr>
                <w:b/>
                <w:bCs/>
                <w:sz w:val="18"/>
                <w:szCs w:val="18"/>
                <w:u w:val="single"/>
              </w:rPr>
            </w:pPr>
            <w:r w:rsidRPr="00BC2132">
              <w:rPr>
                <w:b/>
                <w:bCs/>
                <w:sz w:val="18"/>
                <w:szCs w:val="18"/>
                <w:u w:val="single"/>
              </w:rPr>
              <w:t>Средняя</w:t>
            </w:r>
          </w:p>
        </w:tc>
      </w:tr>
      <w:tr w:rsidR="00BC2132" w:rsidRPr="00BC2132" w:rsidTr="00BC213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0"/>
        </w:trPr>
        <w:tc>
          <w:tcPr>
            <w:tcW w:w="567" w:type="dxa"/>
            <w:tcBorders>
              <w:top w:val="nil"/>
              <w:left w:val="single" w:sz="4" w:space="0" w:color="auto"/>
              <w:bottom w:val="single" w:sz="4" w:space="0" w:color="auto"/>
              <w:right w:val="single" w:sz="4" w:space="0" w:color="auto"/>
            </w:tcBorders>
          </w:tcPr>
          <w:p w:rsidR="00BC2132" w:rsidRPr="00BC2132" w:rsidRDefault="00BC2132" w:rsidP="00BC2132">
            <w:pPr>
              <w:ind w:firstLine="0"/>
              <w:jc w:val="center"/>
              <w:rPr>
                <w:bCs/>
                <w:sz w:val="24"/>
                <w:szCs w:val="24"/>
              </w:rPr>
            </w:pPr>
            <w:r w:rsidRPr="00BC2132">
              <w:rPr>
                <w:bCs/>
                <w:sz w:val="24"/>
                <w:szCs w:val="24"/>
              </w:rPr>
              <w:t>14</w:t>
            </w:r>
          </w:p>
        </w:tc>
        <w:tc>
          <w:tcPr>
            <w:tcW w:w="5812" w:type="dxa"/>
            <w:tcBorders>
              <w:top w:val="nil"/>
              <w:left w:val="single" w:sz="4" w:space="0" w:color="auto"/>
              <w:bottom w:val="single" w:sz="4" w:space="0" w:color="auto"/>
              <w:right w:val="single" w:sz="4" w:space="0" w:color="auto"/>
            </w:tcBorders>
            <w:shd w:val="clear" w:color="auto" w:fill="auto"/>
            <w:vAlign w:val="center"/>
            <w:hideMark/>
          </w:tcPr>
          <w:p w:rsidR="00BC2132" w:rsidRPr="00BC2132" w:rsidRDefault="00501EE5" w:rsidP="00BC2132">
            <w:pPr>
              <w:ind w:firstLine="0"/>
              <w:jc w:val="left"/>
              <w:rPr>
                <w:bCs/>
                <w:sz w:val="22"/>
              </w:rPr>
            </w:pPr>
            <w:r>
              <w:rPr>
                <w:bCs/>
                <w:sz w:val="22"/>
              </w:rPr>
              <w:t>«Информационное общество»</w:t>
            </w:r>
            <w:r w:rsidR="00BC2132" w:rsidRPr="00BC2132">
              <w:rPr>
                <w:sz w:val="22"/>
              </w:rPr>
              <w:t xml:space="preserve"> (Минцифра МО)</w:t>
            </w:r>
          </w:p>
        </w:tc>
        <w:tc>
          <w:tcPr>
            <w:tcW w:w="1560" w:type="dxa"/>
            <w:tcBorders>
              <w:top w:val="nil"/>
              <w:left w:val="nil"/>
              <w:bottom w:val="single" w:sz="4" w:space="0" w:color="auto"/>
              <w:right w:val="single" w:sz="4" w:space="0" w:color="auto"/>
            </w:tcBorders>
            <w:shd w:val="clear" w:color="000000" w:fill="99FF99"/>
            <w:vAlign w:val="center"/>
            <w:hideMark/>
          </w:tcPr>
          <w:p w:rsidR="00BC2132" w:rsidRPr="00BC2132" w:rsidRDefault="00BC2132" w:rsidP="00BC2132">
            <w:pPr>
              <w:ind w:firstLine="0"/>
              <w:jc w:val="center"/>
              <w:rPr>
                <w:b/>
                <w:bCs/>
                <w:sz w:val="18"/>
                <w:szCs w:val="18"/>
                <w:u w:val="single"/>
              </w:rPr>
            </w:pPr>
            <w:r w:rsidRPr="00BC2132">
              <w:rPr>
                <w:b/>
                <w:bCs/>
                <w:sz w:val="18"/>
                <w:szCs w:val="18"/>
                <w:u w:val="single"/>
              </w:rPr>
              <w:t>98,3%</w:t>
            </w:r>
          </w:p>
        </w:tc>
        <w:tc>
          <w:tcPr>
            <w:tcW w:w="1559" w:type="dxa"/>
            <w:tcBorders>
              <w:top w:val="nil"/>
              <w:left w:val="nil"/>
              <w:bottom w:val="single" w:sz="4" w:space="0" w:color="auto"/>
              <w:right w:val="single" w:sz="4" w:space="0" w:color="auto"/>
            </w:tcBorders>
            <w:shd w:val="clear" w:color="000000" w:fill="99FF99"/>
            <w:vAlign w:val="center"/>
            <w:hideMark/>
          </w:tcPr>
          <w:p w:rsidR="00BC2132" w:rsidRPr="00BC2132" w:rsidRDefault="00BC2132" w:rsidP="00BC2132">
            <w:pPr>
              <w:ind w:firstLine="0"/>
              <w:jc w:val="center"/>
              <w:rPr>
                <w:b/>
                <w:bCs/>
                <w:sz w:val="18"/>
                <w:szCs w:val="18"/>
                <w:u w:val="single"/>
              </w:rPr>
            </w:pPr>
            <w:r w:rsidRPr="00BC2132">
              <w:rPr>
                <w:b/>
                <w:bCs/>
                <w:sz w:val="18"/>
                <w:szCs w:val="18"/>
                <w:u w:val="single"/>
              </w:rPr>
              <w:t>106,9%</w:t>
            </w:r>
          </w:p>
        </w:tc>
        <w:tc>
          <w:tcPr>
            <w:tcW w:w="1701" w:type="dxa"/>
            <w:tcBorders>
              <w:top w:val="nil"/>
              <w:left w:val="nil"/>
              <w:bottom w:val="single" w:sz="4" w:space="0" w:color="auto"/>
              <w:right w:val="single" w:sz="4" w:space="0" w:color="auto"/>
            </w:tcBorders>
            <w:shd w:val="clear" w:color="000000" w:fill="FFC000"/>
            <w:vAlign w:val="center"/>
            <w:hideMark/>
          </w:tcPr>
          <w:p w:rsidR="00BC2132" w:rsidRPr="00BC2132" w:rsidRDefault="00BC2132" w:rsidP="00BC2132">
            <w:pPr>
              <w:ind w:firstLine="0"/>
              <w:jc w:val="center"/>
              <w:rPr>
                <w:b/>
                <w:bCs/>
                <w:sz w:val="18"/>
                <w:szCs w:val="18"/>
                <w:u w:val="single"/>
              </w:rPr>
            </w:pPr>
            <w:r w:rsidRPr="00BC2132">
              <w:rPr>
                <w:b/>
                <w:bCs/>
                <w:sz w:val="18"/>
                <w:szCs w:val="18"/>
                <w:u w:val="single"/>
              </w:rPr>
              <w:t>86,8%</w:t>
            </w:r>
          </w:p>
        </w:tc>
        <w:tc>
          <w:tcPr>
            <w:tcW w:w="1984" w:type="dxa"/>
            <w:tcBorders>
              <w:top w:val="nil"/>
              <w:left w:val="nil"/>
              <w:bottom w:val="single" w:sz="4" w:space="0" w:color="auto"/>
              <w:right w:val="single" w:sz="4" w:space="0" w:color="auto"/>
            </w:tcBorders>
            <w:shd w:val="clear" w:color="000000" w:fill="FFFF00"/>
            <w:vAlign w:val="center"/>
            <w:hideMark/>
          </w:tcPr>
          <w:p w:rsidR="00BC2132" w:rsidRPr="00BC2132" w:rsidRDefault="00BC2132" w:rsidP="00BC2132">
            <w:pPr>
              <w:ind w:firstLine="0"/>
              <w:jc w:val="center"/>
              <w:rPr>
                <w:b/>
                <w:bCs/>
                <w:sz w:val="18"/>
                <w:szCs w:val="18"/>
                <w:u w:val="single"/>
              </w:rPr>
            </w:pPr>
            <w:r w:rsidRPr="00BC2132">
              <w:rPr>
                <w:b/>
                <w:bCs/>
                <w:sz w:val="18"/>
                <w:szCs w:val="18"/>
                <w:u w:val="single"/>
              </w:rPr>
              <w:t>96,2%</w:t>
            </w:r>
          </w:p>
        </w:tc>
        <w:tc>
          <w:tcPr>
            <w:tcW w:w="1843" w:type="dxa"/>
            <w:tcBorders>
              <w:top w:val="nil"/>
              <w:left w:val="nil"/>
              <w:bottom w:val="single" w:sz="4" w:space="0" w:color="auto"/>
              <w:right w:val="single" w:sz="4" w:space="0" w:color="auto"/>
            </w:tcBorders>
            <w:shd w:val="clear" w:color="000000" w:fill="FFFF00"/>
            <w:vAlign w:val="center"/>
            <w:hideMark/>
          </w:tcPr>
          <w:p w:rsidR="00BC2132" w:rsidRPr="00BC2132" w:rsidRDefault="00BC2132" w:rsidP="00BC2132">
            <w:pPr>
              <w:ind w:firstLine="0"/>
              <w:jc w:val="center"/>
              <w:rPr>
                <w:b/>
                <w:bCs/>
                <w:sz w:val="18"/>
                <w:szCs w:val="18"/>
                <w:u w:val="single"/>
              </w:rPr>
            </w:pPr>
            <w:r w:rsidRPr="00BC2132">
              <w:rPr>
                <w:b/>
                <w:bCs/>
                <w:sz w:val="18"/>
                <w:szCs w:val="18"/>
                <w:u w:val="single"/>
              </w:rPr>
              <w:t>Средняя</w:t>
            </w:r>
          </w:p>
        </w:tc>
      </w:tr>
      <w:tr w:rsidR="00BC2132" w:rsidRPr="00BC2132" w:rsidTr="00BC213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990"/>
        </w:trPr>
        <w:tc>
          <w:tcPr>
            <w:tcW w:w="567" w:type="dxa"/>
            <w:tcBorders>
              <w:top w:val="nil"/>
              <w:left w:val="single" w:sz="4" w:space="0" w:color="auto"/>
              <w:bottom w:val="single" w:sz="4" w:space="0" w:color="auto"/>
              <w:right w:val="single" w:sz="4" w:space="0" w:color="auto"/>
            </w:tcBorders>
          </w:tcPr>
          <w:p w:rsidR="00BC2132" w:rsidRPr="00BC2132" w:rsidRDefault="00BC2132" w:rsidP="00BC2132">
            <w:pPr>
              <w:ind w:firstLine="0"/>
              <w:jc w:val="center"/>
              <w:rPr>
                <w:bCs/>
                <w:sz w:val="24"/>
                <w:szCs w:val="24"/>
              </w:rPr>
            </w:pPr>
            <w:r w:rsidRPr="00BC2132">
              <w:rPr>
                <w:bCs/>
                <w:sz w:val="24"/>
                <w:szCs w:val="24"/>
              </w:rPr>
              <w:t>15</w:t>
            </w:r>
          </w:p>
        </w:tc>
        <w:tc>
          <w:tcPr>
            <w:tcW w:w="5812" w:type="dxa"/>
            <w:tcBorders>
              <w:top w:val="nil"/>
              <w:left w:val="single" w:sz="4" w:space="0" w:color="auto"/>
              <w:bottom w:val="single" w:sz="4" w:space="0" w:color="auto"/>
              <w:right w:val="single" w:sz="4" w:space="0" w:color="auto"/>
            </w:tcBorders>
            <w:shd w:val="clear" w:color="auto" w:fill="auto"/>
            <w:vAlign w:val="center"/>
            <w:hideMark/>
          </w:tcPr>
          <w:p w:rsidR="00BC2132" w:rsidRPr="00BC2132" w:rsidRDefault="00501EE5" w:rsidP="00501EE5">
            <w:pPr>
              <w:ind w:firstLine="0"/>
              <w:jc w:val="left"/>
              <w:rPr>
                <w:bCs/>
                <w:sz w:val="22"/>
              </w:rPr>
            </w:pPr>
            <w:r>
              <w:rPr>
                <w:bCs/>
                <w:sz w:val="22"/>
              </w:rPr>
              <w:t>«</w:t>
            </w:r>
            <w:r w:rsidR="00BC2132" w:rsidRPr="00BC2132">
              <w:rPr>
                <w:bCs/>
                <w:sz w:val="22"/>
              </w:rPr>
              <w:t>Управление региональными финансами, создание условий для эффективного и ответственного управления муниципальными финансами</w:t>
            </w:r>
            <w:r>
              <w:rPr>
                <w:bCs/>
                <w:sz w:val="22"/>
              </w:rPr>
              <w:t>»</w:t>
            </w:r>
            <w:r w:rsidR="00BC2132" w:rsidRPr="00BC2132">
              <w:rPr>
                <w:sz w:val="22"/>
              </w:rPr>
              <w:t xml:space="preserve"> (Минфин МО)</w:t>
            </w:r>
          </w:p>
        </w:tc>
        <w:tc>
          <w:tcPr>
            <w:tcW w:w="1560" w:type="dxa"/>
            <w:tcBorders>
              <w:top w:val="nil"/>
              <w:left w:val="nil"/>
              <w:bottom w:val="single" w:sz="4" w:space="0" w:color="auto"/>
              <w:right w:val="single" w:sz="4" w:space="0" w:color="auto"/>
            </w:tcBorders>
            <w:shd w:val="clear" w:color="000000" w:fill="99FF99"/>
            <w:vAlign w:val="center"/>
            <w:hideMark/>
          </w:tcPr>
          <w:p w:rsidR="00BC2132" w:rsidRPr="00BC2132" w:rsidRDefault="00BC2132" w:rsidP="00BC2132">
            <w:pPr>
              <w:ind w:firstLine="0"/>
              <w:jc w:val="center"/>
              <w:rPr>
                <w:b/>
                <w:bCs/>
                <w:sz w:val="18"/>
                <w:szCs w:val="18"/>
                <w:u w:val="single"/>
              </w:rPr>
            </w:pPr>
            <w:r w:rsidRPr="00BC2132">
              <w:rPr>
                <w:b/>
                <w:bCs/>
                <w:sz w:val="18"/>
                <w:szCs w:val="18"/>
                <w:u w:val="single"/>
              </w:rPr>
              <w:t>99,7%</w:t>
            </w:r>
          </w:p>
        </w:tc>
        <w:tc>
          <w:tcPr>
            <w:tcW w:w="1559" w:type="dxa"/>
            <w:tcBorders>
              <w:top w:val="nil"/>
              <w:left w:val="nil"/>
              <w:bottom w:val="single" w:sz="4" w:space="0" w:color="auto"/>
              <w:right w:val="single" w:sz="4" w:space="0" w:color="auto"/>
            </w:tcBorders>
            <w:shd w:val="clear" w:color="000000" w:fill="99FF99"/>
            <w:vAlign w:val="center"/>
            <w:hideMark/>
          </w:tcPr>
          <w:p w:rsidR="00BC2132" w:rsidRPr="00BC2132" w:rsidRDefault="00BC2132" w:rsidP="00BC2132">
            <w:pPr>
              <w:ind w:firstLine="0"/>
              <w:jc w:val="center"/>
              <w:rPr>
                <w:b/>
                <w:bCs/>
                <w:sz w:val="18"/>
                <w:szCs w:val="18"/>
                <w:u w:val="single"/>
              </w:rPr>
            </w:pPr>
            <w:r w:rsidRPr="00BC2132">
              <w:rPr>
                <w:b/>
                <w:bCs/>
                <w:sz w:val="18"/>
                <w:szCs w:val="18"/>
                <w:u w:val="single"/>
              </w:rPr>
              <w:t>103,8%</w:t>
            </w:r>
          </w:p>
        </w:tc>
        <w:tc>
          <w:tcPr>
            <w:tcW w:w="1701" w:type="dxa"/>
            <w:tcBorders>
              <w:top w:val="nil"/>
              <w:left w:val="nil"/>
              <w:bottom w:val="single" w:sz="4" w:space="0" w:color="auto"/>
              <w:right w:val="single" w:sz="4" w:space="0" w:color="auto"/>
            </w:tcBorders>
            <w:shd w:val="clear" w:color="000000" w:fill="FFFF00"/>
            <w:vAlign w:val="center"/>
            <w:hideMark/>
          </w:tcPr>
          <w:p w:rsidR="00BC2132" w:rsidRPr="00BC2132" w:rsidRDefault="003D2FBD" w:rsidP="00BC2132">
            <w:pPr>
              <w:ind w:firstLine="0"/>
              <w:jc w:val="center"/>
              <w:rPr>
                <w:b/>
                <w:bCs/>
                <w:sz w:val="18"/>
                <w:szCs w:val="18"/>
                <w:u w:val="single"/>
              </w:rPr>
            </w:pPr>
            <w:r>
              <w:rPr>
                <w:b/>
                <w:bCs/>
                <w:sz w:val="18"/>
                <w:szCs w:val="18"/>
                <w:u w:val="single"/>
              </w:rPr>
              <w:t>93,3</w:t>
            </w:r>
            <w:r w:rsidR="00BC2132" w:rsidRPr="00BC2132">
              <w:rPr>
                <w:b/>
                <w:bCs/>
                <w:sz w:val="18"/>
                <w:szCs w:val="18"/>
                <w:u w:val="single"/>
              </w:rPr>
              <w:t>%</w:t>
            </w:r>
          </w:p>
        </w:tc>
        <w:tc>
          <w:tcPr>
            <w:tcW w:w="1984" w:type="dxa"/>
            <w:tcBorders>
              <w:top w:val="nil"/>
              <w:left w:val="nil"/>
              <w:bottom w:val="single" w:sz="4" w:space="0" w:color="auto"/>
              <w:right w:val="single" w:sz="4" w:space="0" w:color="auto"/>
            </w:tcBorders>
            <w:shd w:val="clear" w:color="000000" w:fill="99FF99"/>
            <w:vAlign w:val="center"/>
            <w:hideMark/>
          </w:tcPr>
          <w:p w:rsidR="00BC2132" w:rsidRPr="00BC2132" w:rsidRDefault="00BB7BD6" w:rsidP="00BC2132">
            <w:pPr>
              <w:ind w:firstLine="0"/>
              <w:jc w:val="center"/>
              <w:rPr>
                <w:b/>
                <w:bCs/>
                <w:sz w:val="18"/>
                <w:szCs w:val="18"/>
                <w:u w:val="single"/>
              </w:rPr>
            </w:pPr>
            <w:r>
              <w:rPr>
                <w:b/>
                <w:bCs/>
                <w:sz w:val="18"/>
                <w:szCs w:val="18"/>
                <w:u w:val="single"/>
              </w:rPr>
              <w:t>97,86</w:t>
            </w:r>
            <w:r w:rsidR="00BC2132" w:rsidRPr="00BC2132">
              <w:rPr>
                <w:b/>
                <w:bCs/>
                <w:sz w:val="18"/>
                <w:szCs w:val="18"/>
                <w:u w:val="single"/>
              </w:rPr>
              <w:t>%</w:t>
            </w:r>
          </w:p>
        </w:tc>
        <w:tc>
          <w:tcPr>
            <w:tcW w:w="1843" w:type="dxa"/>
            <w:tcBorders>
              <w:top w:val="nil"/>
              <w:left w:val="nil"/>
              <w:bottom w:val="single" w:sz="4" w:space="0" w:color="auto"/>
              <w:right w:val="single" w:sz="4" w:space="0" w:color="auto"/>
            </w:tcBorders>
            <w:shd w:val="clear" w:color="000000" w:fill="99FF99"/>
            <w:vAlign w:val="center"/>
            <w:hideMark/>
          </w:tcPr>
          <w:p w:rsidR="00BC2132" w:rsidRPr="00BC2132" w:rsidRDefault="00BC2132" w:rsidP="00BC2132">
            <w:pPr>
              <w:ind w:firstLine="0"/>
              <w:jc w:val="center"/>
              <w:rPr>
                <w:b/>
                <w:bCs/>
                <w:sz w:val="18"/>
                <w:szCs w:val="18"/>
                <w:u w:val="single"/>
              </w:rPr>
            </w:pPr>
            <w:r w:rsidRPr="00BC2132">
              <w:rPr>
                <w:b/>
                <w:bCs/>
                <w:sz w:val="18"/>
                <w:szCs w:val="18"/>
                <w:u w:val="single"/>
              </w:rPr>
              <w:t>Высокая</w:t>
            </w:r>
          </w:p>
        </w:tc>
      </w:tr>
      <w:tr w:rsidR="00BC2132" w:rsidRPr="00BC2132" w:rsidTr="00BC213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0"/>
        </w:trPr>
        <w:tc>
          <w:tcPr>
            <w:tcW w:w="567" w:type="dxa"/>
            <w:tcBorders>
              <w:top w:val="nil"/>
              <w:left w:val="single" w:sz="4" w:space="0" w:color="auto"/>
              <w:bottom w:val="single" w:sz="4" w:space="0" w:color="auto"/>
              <w:right w:val="single" w:sz="4" w:space="0" w:color="auto"/>
            </w:tcBorders>
          </w:tcPr>
          <w:p w:rsidR="00BC2132" w:rsidRPr="00BC2132" w:rsidRDefault="00BC2132" w:rsidP="00BC2132">
            <w:pPr>
              <w:ind w:firstLine="0"/>
              <w:jc w:val="center"/>
              <w:rPr>
                <w:bCs/>
                <w:sz w:val="24"/>
                <w:szCs w:val="24"/>
              </w:rPr>
            </w:pPr>
            <w:r w:rsidRPr="00BC2132">
              <w:rPr>
                <w:bCs/>
                <w:sz w:val="24"/>
                <w:szCs w:val="24"/>
              </w:rPr>
              <w:t>16</w:t>
            </w:r>
          </w:p>
        </w:tc>
        <w:tc>
          <w:tcPr>
            <w:tcW w:w="5812" w:type="dxa"/>
            <w:tcBorders>
              <w:top w:val="nil"/>
              <w:left w:val="single" w:sz="4" w:space="0" w:color="auto"/>
              <w:bottom w:val="single" w:sz="4" w:space="0" w:color="auto"/>
              <w:right w:val="single" w:sz="4" w:space="0" w:color="auto"/>
            </w:tcBorders>
            <w:shd w:val="clear" w:color="auto" w:fill="auto"/>
            <w:vAlign w:val="center"/>
            <w:hideMark/>
          </w:tcPr>
          <w:p w:rsidR="00BC2132" w:rsidRPr="00BC2132" w:rsidRDefault="00501EE5" w:rsidP="00BC2132">
            <w:pPr>
              <w:ind w:firstLine="0"/>
              <w:jc w:val="left"/>
              <w:rPr>
                <w:bCs/>
                <w:sz w:val="22"/>
              </w:rPr>
            </w:pPr>
            <w:r>
              <w:rPr>
                <w:bCs/>
                <w:sz w:val="22"/>
              </w:rPr>
              <w:t>«</w:t>
            </w:r>
            <w:r w:rsidR="00BC2132" w:rsidRPr="00BC2132">
              <w:rPr>
                <w:bCs/>
                <w:sz w:val="22"/>
              </w:rPr>
              <w:t>Государственное уп</w:t>
            </w:r>
            <w:r>
              <w:rPr>
                <w:bCs/>
                <w:sz w:val="22"/>
              </w:rPr>
              <w:t>равление и гражданское общество»</w:t>
            </w:r>
            <w:r w:rsidR="00BC2132" w:rsidRPr="00BC2132">
              <w:rPr>
                <w:sz w:val="22"/>
              </w:rPr>
              <w:t xml:space="preserve"> (Аппарат ПМО)</w:t>
            </w:r>
          </w:p>
        </w:tc>
        <w:tc>
          <w:tcPr>
            <w:tcW w:w="1560" w:type="dxa"/>
            <w:tcBorders>
              <w:top w:val="nil"/>
              <w:left w:val="nil"/>
              <w:bottom w:val="single" w:sz="4" w:space="0" w:color="auto"/>
              <w:right w:val="single" w:sz="4" w:space="0" w:color="auto"/>
            </w:tcBorders>
            <w:shd w:val="clear" w:color="000000" w:fill="99FF99"/>
            <w:vAlign w:val="center"/>
            <w:hideMark/>
          </w:tcPr>
          <w:p w:rsidR="00BC2132" w:rsidRPr="00BC2132" w:rsidRDefault="00BC2132" w:rsidP="00BC2132">
            <w:pPr>
              <w:ind w:firstLine="0"/>
              <w:jc w:val="center"/>
              <w:rPr>
                <w:b/>
                <w:bCs/>
                <w:sz w:val="18"/>
                <w:szCs w:val="18"/>
                <w:u w:val="single"/>
              </w:rPr>
            </w:pPr>
            <w:r w:rsidRPr="00BC2132">
              <w:rPr>
                <w:b/>
                <w:bCs/>
                <w:sz w:val="18"/>
                <w:szCs w:val="18"/>
                <w:u w:val="single"/>
              </w:rPr>
              <w:t>98,9%</w:t>
            </w:r>
          </w:p>
        </w:tc>
        <w:tc>
          <w:tcPr>
            <w:tcW w:w="1559" w:type="dxa"/>
            <w:tcBorders>
              <w:top w:val="nil"/>
              <w:left w:val="nil"/>
              <w:bottom w:val="single" w:sz="4" w:space="0" w:color="auto"/>
              <w:right w:val="single" w:sz="4" w:space="0" w:color="auto"/>
            </w:tcBorders>
            <w:shd w:val="clear" w:color="000000" w:fill="99FF99"/>
            <w:vAlign w:val="center"/>
            <w:hideMark/>
          </w:tcPr>
          <w:p w:rsidR="00BC2132" w:rsidRPr="00BC2132" w:rsidRDefault="00BC2132" w:rsidP="00BC2132">
            <w:pPr>
              <w:ind w:firstLine="0"/>
              <w:jc w:val="center"/>
              <w:rPr>
                <w:b/>
                <w:bCs/>
                <w:sz w:val="18"/>
                <w:szCs w:val="18"/>
                <w:u w:val="single"/>
              </w:rPr>
            </w:pPr>
            <w:r w:rsidRPr="00BC2132">
              <w:rPr>
                <w:b/>
                <w:bCs/>
                <w:sz w:val="18"/>
                <w:szCs w:val="18"/>
                <w:u w:val="single"/>
              </w:rPr>
              <w:t>103,2%</w:t>
            </w:r>
          </w:p>
        </w:tc>
        <w:tc>
          <w:tcPr>
            <w:tcW w:w="1701" w:type="dxa"/>
            <w:tcBorders>
              <w:top w:val="nil"/>
              <w:left w:val="nil"/>
              <w:bottom w:val="single" w:sz="4" w:space="0" w:color="auto"/>
              <w:right w:val="single" w:sz="4" w:space="0" w:color="auto"/>
            </w:tcBorders>
            <w:shd w:val="clear" w:color="000000" w:fill="99FF99"/>
            <w:vAlign w:val="center"/>
            <w:hideMark/>
          </w:tcPr>
          <w:p w:rsidR="00BC2132" w:rsidRPr="00BC2132" w:rsidRDefault="00BC2132" w:rsidP="00BC2132">
            <w:pPr>
              <w:ind w:firstLine="0"/>
              <w:jc w:val="center"/>
              <w:rPr>
                <w:b/>
                <w:bCs/>
                <w:sz w:val="18"/>
                <w:szCs w:val="18"/>
                <w:u w:val="single"/>
              </w:rPr>
            </w:pPr>
            <w:r w:rsidRPr="00BC2132">
              <w:rPr>
                <w:b/>
                <w:bCs/>
                <w:sz w:val="18"/>
                <w:szCs w:val="18"/>
                <w:u w:val="single"/>
              </w:rPr>
              <w:t>97,1%</w:t>
            </w:r>
          </w:p>
        </w:tc>
        <w:tc>
          <w:tcPr>
            <w:tcW w:w="1984" w:type="dxa"/>
            <w:tcBorders>
              <w:top w:val="nil"/>
              <w:left w:val="nil"/>
              <w:bottom w:val="single" w:sz="4" w:space="0" w:color="auto"/>
              <w:right w:val="single" w:sz="4" w:space="0" w:color="auto"/>
            </w:tcBorders>
            <w:shd w:val="clear" w:color="000000" w:fill="99FF99"/>
            <w:vAlign w:val="center"/>
            <w:hideMark/>
          </w:tcPr>
          <w:p w:rsidR="00BC2132" w:rsidRPr="00BC2132" w:rsidRDefault="00BC2132" w:rsidP="00BB7BD6">
            <w:pPr>
              <w:ind w:firstLine="0"/>
              <w:jc w:val="center"/>
              <w:rPr>
                <w:b/>
                <w:bCs/>
                <w:sz w:val="18"/>
                <w:szCs w:val="18"/>
                <w:u w:val="single"/>
              </w:rPr>
            </w:pPr>
            <w:r w:rsidRPr="00BC2132">
              <w:rPr>
                <w:b/>
                <w:bCs/>
                <w:sz w:val="18"/>
                <w:szCs w:val="18"/>
                <w:u w:val="single"/>
              </w:rPr>
              <w:t>98,7</w:t>
            </w:r>
            <w:r w:rsidR="00BB7BD6">
              <w:rPr>
                <w:b/>
                <w:bCs/>
                <w:sz w:val="18"/>
                <w:szCs w:val="18"/>
                <w:u w:val="single"/>
              </w:rPr>
              <w:t>3</w:t>
            </w:r>
            <w:r w:rsidRPr="00BC2132">
              <w:rPr>
                <w:b/>
                <w:bCs/>
                <w:sz w:val="18"/>
                <w:szCs w:val="18"/>
                <w:u w:val="single"/>
              </w:rPr>
              <w:t>%</w:t>
            </w:r>
          </w:p>
        </w:tc>
        <w:tc>
          <w:tcPr>
            <w:tcW w:w="1843" w:type="dxa"/>
            <w:tcBorders>
              <w:top w:val="nil"/>
              <w:left w:val="nil"/>
              <w:bottom w:val="single" w:sz="4" w:space="0" w:color="auto"/>
              <w:right w:val="single" w:sz="4" w:space="0" w:color="auto"/>
            </w:tcBorders>
            <w:shd w:val="clear" w:color="000000" w:fill="99FF99"/>
            <w:vAlign w:val="center"/>
            <w:hideMark/>
          </w:tcPr>
          <w:p w:rsidR="00BC2132" w:rsidRPr="00BC2132" w:rsidRDefault="00BC2132" w:rsidP="00BC2132">
            <w:pPr>
              <w:ind w:firstLine="0"/>
              <w:jc w:val="center"/>
              <w:rPr>
                <w:b/>
                <w:bCs/>
                <w:sz w:val="18"/>
                <w:szCs w:val="18"/>
                <w:u w:val="single"/>
              </w:rPr>
            </w:pPr>
            <w:r w:rsidRPr="00BC2132">
              <w:rPr>
                <w:b/>
                <w:bCs/>
                <w:sz w:val="18"/>
                <w:szCs w:val="18"/>
                <w:u w:val="single"/>
              </w:rPr>
              <w:t>Высокая</w:t>
            </w:r>
          </w:p>
        </w:tc>
      </w:tr>
    </w:tbl>
    <w:p w:rsidR="00556361" w:rsidRDefault="00556361" w:rsidP="006244A7">
      <w:pPr>
        <w:autoSpaceDE w:val="0"/>
        <w:autoSpaceDN w:val="0"/>
        <w:adjustRightInd w:val="0"/>
        <w:ind w:firstLine="540"/>
        <w:rPr>
          <w:szCs w:val="28"/>
        </w:rPr>
        <w:sectPr w:rsidR="00556361" w:rsidSect="00EC205D">
          <w:pgSz w:w="16838" w:h="11906" w:orient="landscape"/>
          <w:pgMar w:top="851" w:right="1134" w:bottom="709" w:left="1134" w:header="709" w:footer="709" w:gutter="0"/>
          <w:cols w:space="708"/>
          <w:docGrid w:linePitch="360"/>
        </w:sectPr>
      </w:pPr>
    </w:p>
    <w:p w:rsidR="0088448F" w:rsidRDefault="0088448F" w:rsidP="0088448F">
      <w:pPr>
        <w:rPr>
          <w:szCs w:val="28"/>
        </w:rPr>
      </w:pPr>
    </w:p>
    <w:p w:rsidR="00096B18" w:rsidRPr="00BE108E" w:rsidRDefault="00096B18" w:rsidP="00B93BB7">
      <w:pPr>
        <w:pStyle w:val="1"/>
      </w:pPr>
      <w:r w:rsidRPr="00BE108E">
        <w:t>Выводы и рекомендации</w:t>
      </w:r>
    </w:p>
    <w:p w:rsidR="00096B18" w:rsidRPr="00BE108E" w:rsidRDefault="00096B18" w:rsidP="00096B18">
      <w:pPr>
        <w:pStyle w:val="ConsPlusCell"/>
        <w:ind w:firstLine="709"/>
        <w:jc w:val="both"/>
        <w:rPr>
          <w:rStyle w:val="FontStyle14"/>
          <w:b/>
        </w:rPr>
      </w:pPr>
    </w:p>
    <w:p w:rsidR="00135D0B" w:rsidRPr="00E05304" w:rsidRDefault="00135D0B" w:rsidP="00135D0B">
      <w:pPr>
        <w:pStyle w:val="ConsPlusCell"/>
        <w:ind w:firstLine="709"/>
        <w:jc w:val="both"/>
        <w:rPr>
          <w:rStyle w:val="FontStyle14"/>
          <w:sz w:val="28"/>
          <w:szCs w:val="28"/>
        </w:rPr>
      </w:pPr>
      <w:r w:rsidRPr="00E05304">
        <w:rPr>
          <w:rStyle w:val="FontStyle14"/>
          <w:sz w:val="28"/>
          <w:szCs w:val="28"/>
        </w:rPr>
        <w:t>Анализ итогов реализации государственных программ Мурманской области свидетельствует о</w:t>
      </w:r>
      <w:r w:rsidR="00FD0612">
        <w:rPr>
          <w:rStyle w:val="FontStyle14"/>
          <w:sz w:val="28"/>
          <w:szCs w:val="28"/>
        </w:rPr>
        <w:t xml:space="preserve"> том, что при </w:t>
      </w:r>
      <w:r w:rsidRPr="00E05304">
        <w:rPr>
          <w:rStyle w:val="FontStyle14"/>
          <w:sz w:val="28"/>
          <w:szCs w:val="28"/>
        </w:rPr>
        <w:t>сохранении в целом высокого качества планирования и реал</w:t>
      </w:r>
      <w:r w:rsidR="00AB05A9">
        <w:rPr>
          <w:rStyle w:val="FontStyle14"/>
          <w:sz w:val="28"/>
          <w:szCs w:val="28"/>
        </w:rPr>
        <w:t xml:space="preserve">изации государственных программ </w:t>
      </w:r>
      <w:r w:rsidRPr="00E05304">
        <w:rPr>
          <w:rStyle w:val="FontStyle14"/>
          <w:sz w:val="28"/>
          <w:szCs w:val="28"/>
        </w:rPr>
        <w:t xml:space="preserve">по-прежнему по отдельным государственным программам отмечается недостаточная зависимость значений показателей от степени выполнения предусмотренных мероприятий (см. критерии К1 и К3 в Приложении № 4), что </w:t>
      </w:r>
      <w:r w:rsidR="00AB05A9">
        <w:rPr>
          <w:rStyle w:val="FontStyle14"/>
          <w:sz w:val="28"/>
          <w:szCs w:val="28"/>
        </w:rPr>
        <w:t>указывает</w:t>
      </w:r>
      <w:r w:rsidRPr="00E05304">
        <w:rPr>
          <w:rStyle w:val="FontStyle14"/>
          <w:sz w:val="28"/>
          <w:szCs w:val="28"/>
        </w:rPr>
        <w:t>:</w:t>
      </w:r>
    </w:p>
    <w:p w:rsidR="00AF2954" w:rsidRPr="00725A91" w:rsidRDefault="00135D0B" w:rsidP="00135D0B">
      <w:pPr>
        <w:pStyle w:val="ConsPlusCell"/>
        <w:ind w:firstLine="709"/>
        <w:jc w:val="both"/>
        <w:rPr>
          <w:rStyle w:val="FontStyle14"/>
          <w:sz w:val="28"/>
          <w:szCs w:val="28"/>
        </w:rPr>
      </w:pPr>
      <w:r w:rsidRPr="00E05304">
        <w:rPr>
          <w:rStyle w:val="FontStyle14"/>
          <w:sz w:val="28"/>
          <w:szCs w:val="28"/>
        </w:rPr>
        <w:t>- </w:t>
      </w:r>
      <w:r w:rsidR="00AB05A9">
        <w:rPr>
          <w:rStyle w:val="FontStyle14"/>
          <w:sz w:val="28"/>
          <w:szCs w:val="28"/>
        </w:rPr>
        <w:t>на</w:t>
      </w:r>
      <w:r w:rsidRPr="00E05304">
        <w:rPr>
          <w:rStyle w:val="FontStyle14"/>
          <w:sz w:val="28"/>
          <w:szCs w:val="28"/>
        </w:rPr>
        <w:t xml:space="preserve"> отсутстви</w:t>
      </w:r>
      <w:r w:rsidR="00AB05A9">
        <w:rPr>
          <w:rStyle w:val="FontStyle14"/>
          <w:sz w:val="28"/>
          <w:szCs w:val="28"/>
        </w:rPr>
        <w:t>е</w:t>
      </w:r>
      <w:r w:rsidRPr="00E05304">
        <w:rPr>
          <w:rStyle w:val="FontStyle14"/>
          <w:sz w:val="28"/>
          <w:szCs w:val="28"/>
        </w:rPr>
        <w:t xml:space="preserve"> влияния включенных в государственные программы комплексов мероприятий на </w:t>
      </w:r>
      <w:r w:rsidRPr="00725A91">
        <w:rPr>
          <w:rStyle w:val="FontStyle14"/>
          <w:sz w:val="28"/>
          <w:szCs w:val="28"/>
        </w:rPr>
        <w:t xml:space="preserve">фактические значения показателей </w:t>
      </w:r>
      <w:r w:rsidR="001D760D" w:rsidRPr="00725A91">
        <w:rPr>
          <w:rStyle w:val="FontStyle14"/>
          <w:sz w:val="28"/>
          <w:szCs w:val="28"/>
        </w:rPr>
        <w:t xml:space="preserve">(подпрограмма </w:t>
      </w:r>
      <w:r w:rsidR="00E54305" w:rsidRPr="00725A91">
        <w:rPr>
          <w:rStyle w:val="FontStyle14"/>
          <w:sz w:val="28"/>
          <w:szCs w:val="28"/>
        </w:rPr>
        <w:t xml:space="preserve"> 4</w:t>
      </w:r>
      <w:r w:rsidRPr="00725A91">
        <w:rPr>
          <w:rStyle w:val="FontStyle14"/>
          <w:sz w:val="28"/>
          <w:szCs w:val="28"/>
        </w:rPr>
        <w:t xml:space="preserve"> государственной прогр</w:t>
      </w:r>
      <w:r w:rsidR="00E54305" w:rsidRPr="00725A91">
        <w:rPr>
          <w:rStyle w:val="FontStyle14"/>
          <w:sz w:val="28"/>
          <w:szCs w:val="28"/>
        </w:rPr>
        <w:t>аммы «Развитие здравоохранения»</w:t>
      </w:r>
      <w:r w:rsidRPr="00725A91">
        <w:rPr>
          <w:rStyle w:val="FontStyle14"/>
          <w:sz w:val="28"/>
          <w:szCs w:val="28"/>
        </w:rPr>
        <w:t xml:space="preserve">, </w:t>
      </w:r>
      <w:r w:rsidR="001D760D" w:rsidRPr="00725A91">
        <w:rPr>
          <w:rStyle w:val="FontStyle14"/>
          <w:sz w:val="28"/>
          <w:szCs w:val="28"/>
        </w:rPr>
        <w:t>государственная программа</w:t>
      </w:r>
      <w:r w:rsidRPr="00725A91">
        <w:rPr>
          <w:rStyle w:val="FontStyle14"/>
          <w:sz w:val="28"/>
          <w:szCs w:val="28"/>
        </w:rPr>
        <w:t xml:space="preserve"> «Социальная поддержка граждан», </w:t>
      </w:r>
      <w:r w:rsidR="00AF2954" w:rsidRPr="00725A91">
        <w:rPr>
          <w:rStyle w:val="FontStyle14"/>
          <w:sz w:val="28"/>
          <w:szCs w:val="28"/>
        </w:rPr>
        <w:t xml:space="preserve">подпрограмма 2 государственной программы «Развитие образования», государственная программа «Развитие физической культуры и спорта», </w:t>
      </w:r>
      <w:r w:rsidR="001D760D" w:rsidRPr="00725A91">
        <w:rPr>
          <w:rStyle w:val="FontStyle14"/>
          <w:sz w:val="28"/>
          <w:szCs w:val="28"/>
        </w:rPr>
        <w:t>подпрограмм</w:t>
      </w:r>
      <w:r w:rsidR="00725A91" w:rsidRPr="00725A91">
        <w:rPr>
          <w:rStyle w:val="FontStyle14"/>
          <w:sz w:val="28"/>
          <w:szCs w:val="28"/>
        </w:rPr>
        <w:t xml:space="preserve">а </w:t>
      </w:r>
      <w:r w:rsidR="001D760D" w:rsidRPr="00725A91">
        <w:rPr>
          <w:rStyle w:val="FontStyle14"/>
          <w:sz w:val="28"/>
          <w:szCs w:val="28"/>
        </w:rPr>
        <w:t xml:space="preserve">2 </w:t>
      </w:r>
      <w:r w:rsidR="00AF2954" w:rsidRPr="00725A91">
        <w:rPr>
          <w:rStyle w:val="FontStyle14"/>
          <w:sz w:val="28"/>
          <w:szCs w:val="28"/>
        </w:rPr>
        <w:t xml:space="preserve"> </w:t>
      </w:r>
      <w:r w:rsidR="001D760D" w:rsidRPr="00725A91">
        <w:rPr>
          <w:rStyle w:val="FontStyle14"/>
          <w:sz w:val="28"/>
          <w:szCs w:val="28"/>
        </w:rPr>
        <w:t>государственной программы «Управление развитием регионального рынка труда»</w:t>
      </w:r>
      <w:r w:rsidR="00725A91" w:rsidRPr="00725A91">
        <w:rPr>
          <w:rStyle w:val="FontStyle14"/>
          <w:sz w:val="28"/>
          <w:szCs w:val="28"/>
        </w:rPr>
        <w:t>, подпрограмма</w:t>
      </w:r>
      <w:r w:rsidR="001D760D" w:rsidRPr="00725A91">
        <w:rPr>
          <w:rStyle w:val="FontStyle14"/>
          <w:sz w:val="28"/>
          <w:szCs w:val="28"/>
        </w:rPr>
        <w:t xml:space="preserve"> 5 государственной программы «Обеспечение комфортной среды проживания населения региона»,</w:t>
      </w:r>
      <w:r w:rsidR="00AF2954" w:rsidRPr="00725A91">
        <w:t xml:space="preserve"> г</w:t>
      </w:r>
      <w:r w:rsidR="00AF2954" w:rsidRPr="00725A91">
        <w:rPr>
          <w:rStyle w:val="FontStyle14"/>
          <w:sz w:val="28"/>
          <w:szCs w:val="28"/>
        </w:rPr>
        <w:t>осударственная программа «Обеспечение общественного порядка и безопасности населения региона», подпрограммы</w:t>
      </w:r>
      <w:r w:rsidR="00725A91" w:rsidRPr="00725A91">
        <w:rPr>
          <w:rStyle w:val="FontStyle14"/>
          <w:sz w:val="28"/>
          <w:szCs w:val="28"/>
        </w:rPr>
        <w:t xml:space="preserve"> 1 и</w:t>
      </w:r>
      <w:r w:rsidR="00AF2954" w:rsidRPr="00725A91">
        <w:rPr>
          <w:rStyle w:val="FontStyle14"/>
          <w:sz w:val="28"/>
          <w:szCs w:val="28"/>
        </w:rPr>
        <w:t xml:space="preserve"> 5 государственной программы «Охрана окружающей среды и воспроизводство природных ресурсов», подпрограмма 1  </w:t>
      </w:r>
      <w:r w:rsidR="00AF2954" w:rsidRPr="00725A91">
        <w:t>г</w:t>
      </w:r>
      <w:r w:rsidR="00AF2954" w:rsidRPr="00725A91">
        <w:rPr>
          <w:rStyle w:val="FontStyle14"/>
          <w:sz w:val="28"/>
          <w:szCs w:val="28"/>
        </w:rPr>
        <w:t>осударственной программы «Развитие рыбного и сельского хозяйства, регулирование рынков сельскохозяйственной продукции, сырья и продовольствия», государственная программа «Развитие транспортной системы», подпрограмма 3 государственной программы «Развитие экономического потенциала и формирование благоприятного предпринимательского климата»,</w:t>
      </w:r>
      <w:r w:rsidR="00AF2954" w:rsidRPr="00725A91">
        <w:t xml:space="preserve"> </w:t>
      </w:r>
      <w:r w:rsidR="00AF2954" w:rsidRPr="00725A91">
        <w:rPr>
          <w:rStyle w:val="FontStyle14"/>
          <w:sz w:val="28"/>
          <w:szCs w:val="28"/>
        </w:rPr>
        <w:t xml:space="preserve">государственная программа «Информационное общество», подпрограмма 1 </w:t>
      </w:r>
      <w:r w:rsidR="00725A91" w:rsidRPr="00725A91">
        <w:rPr>
          <w:rStyle w:val="FontStyle14"/>
          <w:sz w:val="28"/>
          <w:szCs w:val="28"/>
        </w:rPr>
        <w:t>государственной</w:t>
      </w:r>
      <w:r w:rsidR="00AF2954" w:rsidRPr="00725A91">
        <w:rPr>
          <w:rStyle w:val="FontStyle14"/>
          <w:sz w:val="28"/>
          <w:szCs w:val="28"/>
        </w:rPr>
        <w:t xml:space="preserve"> программ</w:t>
      </w:r>
      <w:r w:rsidR="00725A91" w:rsidRPr="00725A91">
        <w:rPr>
          <w:rStyle w:val="FontStyle14"/>
          <w:sz w:val="28"/>
          <w:szCs w:val="28"/>
        </w:rPr>
        <w:t>ы</w:t>
      </w:r>
      <w:r w:rsidR="00AF2954" w:rsidRPr="00725A91">
        <w:rPr>
          <w:rStyle w:val="FontStyle14"/>
          <w:sz w:val="28"/>
          <w:szCs w:val="28"/>
        </w:rPr>
        <w:t xml:space="preserve"> </w:t>
      </w:r>
      <w:r w:rsidR="00725A91" w:rsidRPr="00725A91">
        <w:rPr>
          <w:rStyle w:val="FontStyle14"/>
          <w:sz w:val="28"/>
          <w:szCs w:val="28"/>
        </w:rPr>
        <w:t>«</w:t>
      </w:r>
      <w:r w:rsidR="00AF2954" w:rsidRPr="00725A91">
        <w:rPr>
          <w:rStyle w:val="FontStyle14"/>
          <w:sz w:val="28"/>
          <w:szCs w:val="28"/>
        </w:rPr>
        <w:t>Управление региональными финансами, создание условий для эффективного и ответственного управления муниципальными финансами</w:t>
      </w:r>
      <w:r w:rsidR="00725A91" w:rsidRPr="00725A91">
        <w:rPr>
          <w:rStyle w:val="FontStyle14"/>
          <w:sz w:val="28"/>
          <w:szCs w:val="28"/>
        </w:rPr>
        <w:t>»</w:t>
      </w:r>
      <w:r w:rsidR="00725A91">
        <w:rPr>
          <w:rStyle w:val="FontStyle14"/>
          <w:sz w:val="28"/>
          <w:szCs w:val="28"/>
        </w:rPr>
        <w:t>);</w:t>
      </w:r>
    </w:p>
    <w:p w:rsidR="00135D0B" w:rsidRPr="00725A91" w:rsidRDefault="00135D0B" w:rsidP="00135D0B">
      <w:pPr>
        <w:pStyle w:val="ConsPlusCell"/>
        <w:ind w:firstLine="709"/>
        <w:jc w:val="both"/>
        <w:rPr>
          <w:rStyle w:val="FontStyle14"/>
          <w:sz w:val="28"/>
          <w:szCs w:val="28"/>
        </w:rPr>
      </w:pPr>
      <w:r w:rsidRPr="00725A91">
        <w:rPr>
          <w:rStyle w:val="FontStyle14"/>
          <w:sz w:val="28"/>
          <w:szCs w:val="28"/>
        </w:rPr>
        <w:t>- </w:t>
      </w:r>
      <w:r w:rsidR="00AB05A9" w:rsidRPr="00725A91">
        <w:rPr>
          <w:rStyle w:val="FontStyle14"/>
          <w:sz w:val="28"/>
          <w:szCs w:val="28"/>
        </w:rPr>
        <w:t>на</w:t>
      </w:r>
      <w:r w:rsidRPr="00725A91">
        <w:rPr>
          <w:rStyle w:val="FontStyle14"/>
          <w:sz w:val="28"/>
          <w:szCs w:val="28"/>
        </w:rPr>
        <w:t xml:space="preserve"> недостаточност</w:t>
      </w:r>
      <w:r w:rsidR="00AB05A9" w:rsidRPr="00725A91">
        <w:rPr>
          <w:rStyle w:val="FontStyle14"/>
          <w:sz w:val="28"/>
          <w:szCs w:val="28"/>
        </w:rPr>
        <w:t>ь</w:t>
      </w:r>
      <w:r w:rsidRPr="00725A91">
        <w:rPr>
          <w:rStyle w:val="FontStyle14"/>
          <w:sz w:val="28"/>
          <w:szCs w:val="28"/>
        </w:rPr>
        <w:t xml:space="preserve"> предусмотренных мер для достижения целевых значений показателей (</w:t>
      </w:r>
      <w:r w:rsidR="00725A91" w:rsidRPr="00725A91">
        <w:rPr>
          <w:rStyle w:val="FontStyle14"/>
          <w:sz w:val="28"/>
          <w:szCs w:val="28"/>
        </w:rPr>
        <w:t>подпрограмма 6 государственной программы «Управление развитием регионального рынка труда», подпрограмма 2 государственной программы «Обеспечение комфортной среды проживания населения региона», подпрограммы 3 и 6 государственной программы «Охрана окружающей среды и воспроизводство природных ресурсов»</w:t>
      </w:r>
      <w:r w:rsidRPr="00725A91">
        <w:rPr>
          <w:rStyle w:val="FontStyle14"/>
          <w:sz w:val="28"/>
          <w:szCs w:val="28"/>
        </w:rPr>
        <w:t>).</w:t>
      </w:r>
    </w:p>
    <w:p w:rsidR="0046420A" w:rsidRPr="00E05304" w:rsidRDefault="00AB05A9" w:rsidP="0046420A">
      <w:pPr>
        <w:ind w:firstLine="708"/>
        <w:rPr>
          <w:rStyle w:val="FontStyle14"/>
          <w:sz w:val="28"/>
          <w:szCs w:val="28"/>
        </w:rPr>
      </w:pPr>
      <w:r>
        <w:rPr>
          <w:rStyle w:val="FontStyle14"/>
          <w:sz w:val="28"/>
          <w:szCs w:val="28"/>
        </w:rPr>
        <w:t xml:space="preserve">Не удается </w:t>
      </w:r>
      <w:r w:rsidR="00201D9B">
        <w:rPr>
          <w:rStyle w:val="FontStyle14"/>
          <w:sz w:val="28"/>
          <w:szCs w:val="28"/>
        </w:rPr>
        <w:t>«</w:t>
      </w:r>
      <w:r>
        <w:rPr>
          <w:rStyle w:val="FontStyle14"/>
          <w:sz w:val="28"/>
          <w:szCs w:val="28"/>
        </w:rPr>
        <w:t>переломить</w:t>
      </w:r>
      <w:r w:rsidR="00201D9B">
        <w:rPr>
          <w:rStyle w:val="FontStyle14"/>
          <w:sz w:val="28"/>
          <w:szCs w:val="28"/>
        </w:rPr>
        <w:t>»</w:t>
      </w:r>
      <w:r>
        <w:rPr>
          <w:rStyle w:val="FontStyle14"/>
          <w:sz w:val="28"/>
          <w:szCs w:val="28"/>
        </w:rPr>
        <w:t xml:space="preserve"> </w:t>
      </w:r>
      <w:r w:rsidR="0046420A" w:rsidRPr="00E05304">
        <w:rPr>
          <w:rStyle w:val="FontStyle14"/>
          <w:sz w:val="28"/>
          <w:szCs w:val="28"/>
        </w:rPr>
        <w:t>тенденци</w:t>
      </w:r>
      <w:r>
        <w:rPr>
          <w:rStyle w:val="FontStyle14"/>
          <w:sz w:val="28"/>
          <w:szCs w:val="28"/>
        </w:rPr>
        <w:t>ю</w:t>
      </w:r>
      <w:r w:rsidR="0046420A" w:rsidRPr="00E05304">
        <w:rPr>
          <w:rStyle w:val="FontStyle14"/>
          <w:sz w:val="28"/>
          <w:szCs w:val="28"/>
        </w:rPr>
        <w:t xml:space="preserve"> отставания от графиков производства работ на объектах капитального строительства,</w:t>
      </w:r>
      <w:r w:rsidR="008C0625" w:rsidRPr="00E05304">
        <w:rPr>
          <w:rStyle w:val="FontStyle14"/>
          <w:sz w:val="28"/>
          <w:szCs w:val="28"/>
        </w:rPr>
        <w:t xml:space="preserve"> </w:t>
      </w:r>
      <w:r>
        <w:rPr>
          <w:rStyle w:val="FontStyle14"/>
          <w:sz w:val="28"/>
          <w:szCs w:val="28"/>
        </w:rPr>
        <w:t xml:space="preserve">что </w:t>
      </w:r>
      <w:r w:rsidR="002E4E0C" w:rsidRPr="00E05304">
        <w:rPr>
          <w:rStyle w:val="FontStyle14"/>
          <w:sz w:val="28"/>
          <w:szCs w:val="28"/>
        </w:rPr>
        <w:t>требу</w:t>
      </w:r>
      <w:r>
        <w:rPr>
          <w:rStyle w:val="FontStyle14"/>
          <w:sz w:val="28"/>
          <w:szCs w:val="28"/>
        </w:rPr>
        <w:t>ет</w:t>
      </w:r>
      <w:r w:rsidR="002E4E0C" w:rsidRPr="00E05304">
        <w:rPr>
          <w:rStyle w:val="FontStyle14"/>
          <w:sz w:val="28"/>
          <w:szCs w:val="28"/>
        </w:rPr>
        <w:t xml:space="preserve"> принятия дополнительных мер по</w:t>
      </w:r>
      <w:r w:rsidR="0046420A" w:rsidRPr="00E05304">
        <w:rPr>
          <w:rStyle w:val="FontStyle14"/>
          <w:sz w:val="28"/>
          <w:szCs w:val="28"/>
        </w:rPr>
        <w:t xml:space="preserve"> осуществле</w:t>
      </w:r>
      <w:r w:rsidR="002E4E0C" w:rsidRPr="00E05304">
        <w:rPr>
          <w:rStyle w:val="FontStyle14"/>
          <w:sz w:val="28"/>
          <w:szCs w:val="28"/>
        </w:rPr>
        <w:t>нию</w:t>
      </w:r>
      <w:r w:rsidR="0046420A" w:rsidRPr="00E05304">
        <w:rPr>
          <w:rStyle w:val="FontStyle14"/>
          <w:sz w:val="28"/>
          <w:szCs w:val="28"/>
        </w:rPr>
        <w:t xml:space="preserve"> </w:t>
      </w:r>
      <w:r w:rsidR="002E4E0C" w:rsidRPr="00E05304">
        <w:rPr>
          <w:rStyle w:val="FontStyle14"/>
          <w:sz w:val="28"/>
          <w:szCs w:val="28"/>
        </w:rPr>
        <w:t>контроля</w:t>
      </w:r>
      <w:r w:rsidR="0046420A" w:rsidRPr="00E05304">
        <w:rPr>
          <w:rStyle w:val="FontStyle14"/>
          <w:sz w:val="28"/>
          <w:szCs w:val="28"/>
        </w:rPr>
        <w:t xml:space="preserve"> со стороны исполнительных органов государственной власти Мурманской области выполнения работ по капитальному строительству, заказчиками которых выступают органы местного самоуправления и подведомственные организации. </w:t>
      </w:r>
    </w:p>
    <w:p w:rsidR="0046420A" w:rsidRPr="00E05304" w:rsidRDefault="0046420A" w:rsidP="0046420A">
      <w:pPr>
        <w:pStyle w:val="ConsPlusCell"/>
        <w:ind w:firstLine="709"/>
        <w:jc w:val="both"/>
        <w:rPr>
          <w:rStyle w:val="FontStyle14"/>
          <w:sz w:val="28"/>
          <w:szCs w:val="28"/>
        </w:rPr>
      </w:pPr>
      <w:r w:rsidRPr="00E05304">
        <w:rPr>
          <w:rStyle w:val="FontStyle14"/>
          <w:sz w:val="28"/>
          <w:szCs w:val="28"/>
        </w:rPr>
        <w:t xml:space="preserve">Кроме того, при подготовке годовых отчетов о ходе реализации государственных программ исполнительными органами государственной власти Мурманской области не </w:t>
      </w:r>
      <w:r w:rsidR="00AB05A9">
        <w:rPr>
          <w:rStyle w:val="FontStyle14"/>
          <w:sz w:val="28"/>
          <w:szCs w:val="28"/>
        </w:rPr>
        <w:t>проводится</w:t>
      </w:r>
      <w:r w:rsidRPr="00E05304">
        <w:rPr>
          <w:rStyle w:val="FontStyle14"/>
          <w:sz w:val="28"/>
          <w:szCs w:val="28"/>
        </w:rPr>
        <w:t xml:space="preserve"> полноценный анализ причин </w:t>
      </w:r>
      <w:r w:rsidRPr="00E05304">
        <w:rPr>
          <w:rStyle w:val="FontStyle14"/>
          <w:sz w:val="28"/>
          <w:szCs w:val="28"/>
        </w:rPr>
        <w:lastRenderedPageBreak/>
        <w:t>невыполнения отдельных мероприятий, недостижения плановых значений ряда показателей или отсутствия положительной их динамики в сравнении с 201</w:t>
      </w:r>
      <w:r w:rsidR="00725A91">
        <w:rPr>
          <w:rStyle w:val="FontStyle14"/>
          <w:sz w:val="28"/>
          <w:szCs w:val="28"/>
        </w:rPr>
        <w:t>8</w:t>
      </w:r>
      <w:r w:rsidRPr="00E05304">
        <w:rPr>
          <w:rStyle w:val="FontStyle14"/>
          <w:sz w:val="28"/>
          <w:szCs w:val="28"/>
        </w:rPr>
        <w:t xml:space="preserve"> годом, а также не осуществля</w:t>
      </w:r>
      <w:r w:rsidR="00AB05A9">
        <w:rPr>
          <w:rStyle w:val="FontStyle14"/>
          <w:sz w:val="28"/>
          <w:szCs w:val="28"/>
        </w:rPr>
        <w:t>ется</w:t>
      </w:r>
      <w:r w:rsidRPr="00E05304">
        <w:rPr>
          <w:rStyle w:val="FontStyle14"/>
          <w:sz w:val="28"/>
          <w:szCs w:val="28"/>
        </w:rPr>
        <w:t xml:space="preserve"> выработка мер по улучшению значений показателей (в отдельных случаях – по повышению эффективности реализации государственной программы в целом).</w:t>
      </w:r>
    </w:p>
    <w:p w:rsidR="000D6C97" w:rsidRPr="00E05304" w:rsidRDefault="000D6C97" w:rsidP="00096B18">
      <w:pPr>
        <w:pStyle w:val="ConsPlusCell"/>
        <w:ind w:firstLine="709"/>
        <w:jc w:val="both"/>
        <w:rPr>
          <w:rStyle w:val="FontStyle14"/>
          <w:sz w:val="28"/>
          <w:szCs w:val="28"/>
        </w:rPr>
      </w:pPr>
    </w:p>
    <w:p w:rsidR="000D6C97" w:rsidRPr="00E05304" w:rsidRDefault="00882778" w:rsidP="00096B18">
      <w:pPr>
        <w:pStyle w:val="ConsPlusCell"/>
        <w:ind w:firstLine="709"/>
        <w:jc w:val="both"/>
        <w:rPr>
          <w:rStyle w:val="FontStyle14"/>
          <w:sz w:val="28"/>
          <w:szCs w:val="28"/>
        </w:rPr>
      </w:pPr>
      <w:r w:rsidRPr="00E05304">
        <w:rPr>
          <w:rStyle w:val="FontStyle14"/>
          <w:sz w:val="28"/>
          <w:szCs w:val="28"/>
        </w:rPr>
        <w:t>В</w:t>
      </w:r>
      <w:r w:rsidR="00096B18" w:rsidRPr="00E05304">
        <w:rPr>
          <w:rStyle w:val="FontStyle14"/>
          <w:sz w:val="28"/>
          <w:szCs w:val="28"/>
        </w:rPr>
        <w:t xml:space="preserve"> целях повышения эффективности реализации государственных программ в последующие периоды </w:t>
      </w:r>
      <w:r w:rsidR="00E77670" w:rsidRPr="00E05304">
        <w:rPr>
          <w:rStyle w:val="FontStyle14"/>
          <w:sz w:val="28"/>
          <w:szCs w:val="28"/>
        </w:rPr>
        <w:t>рекомендуется</w:t>
      </w:r>
      <w:r w:rsidR="00096B18" w:rsidRPr="00E05304">
        <w:rPr>
          <w:rStyle w:val="FontStyle14"/>
          <w:sz w:val="28"/>
          <w:szCs w:val="28"/>
        </w:rPr>
        <w:t>:</w:t>
      </w:r>
      <w:r w:rsidR="000D6C97" w:rsidRPr="00E05304">
        <w:rPr>
          <w:rStyle w:val="FontStyle14"/>
          <w:sz w:val="28"/>
          <w:szCs w:val="28"/>
        </w:rPr>
        <w:t xml:space="preserve"> </w:t>
      </w:r>
    </w:p>
    <w:p w:rsidR="000D6C97" w:rsidRPr="00E05304" w:rsidRDefault="000D6C97" w:rsidP="000D6C97">
      <w:pPr>
        <w:numPr>
          <w:ilvl w:val="0"/>
          <w:numId w:val="17"/>
        </w:numPr>
        <w:tabs>
          <w:tab w:val="left" w:pos="1134"/>
        </w:tabs>
        <w:ind w:left="0" w:firstLine="709"/>
        <w:rPr>
          <w:rStyle w:val="FontStyle14"/>
          <w:sz w:val="28"/>
          <w:szCs w:val="28"/>
        </w:rPr>
      </w:pPr>
      <w:r w:rsidRPr="00E05304">
        <w:rPr>
          <w:rStyle w:val="FontStyle14"/>
          <w:sz w:val="28"/>
          <w:szCs w:val="28"/>
        </w:rPr>
        <w:t>Исполнительным органам государственной власти Мурманской области:</w:t>
      </w:r>
    </w:p>
    <w:p w:rsidR="0035595D" w:rsidRPr="001F0870" w:rsidRDefault="0035595D" w:rsidP="00E77670">
      <w:pPr>
        <w:numPr>
          <w:ilvl w:val="1"/>
          <w:numId w:val="17"/>
        </w:numPr>
        <w:tabs>
          <w:tab w:val="left" w:pos="1276"/>
        </w:tabs>
        <w:ind w:left="0" w:firstLine="709"/>
        <w:rPr>
          <w:rStyle w:val="FontStyle14"/>
          <w:sz w:val="28"/>
          <w:szCs w:val="28"/>
        </w:rPr>
      </w:pPr>
      <w:r w:rsidRPr="00E05304">
        <w:rPr>
          <w:rStyle w:val="FontStyle14"/>
          <w:sz w:val="28"/>
          <w:szCs w:val="28"/>
        </w:rPr>
        <w:t xml:space="preserve">Учесть результаты реализации государственных программ Мурманской </w:t>
      </w:r>
      <w:r w:rsidRPr="001F0870">
        <w:rPr>
          <w:rStyle w:val="FontStyle14"/>
          <w:sz w:val="28"/>
          <w:szCs w:val="28"/>
        </w:rPr>
        <w:t>области в 201</w:t>
      </w:r>
      <w:r w:rsidR="00725A91" w:rsidRPr="001F0870">
        <w:rPr>
          <w:rStyle w:val="FontStyle14"/>
          <w:sz w:val="28"/>
          <w:szCs w:val="28"/>
        </w:rPr>
        <w:t>8</w:t>
      </w:r>
      <w:r w:rsidRPr="001F0870">
        <w:rPr>
          <w:rStyle w:val="FontStyle14"/>
          <w:sz w:val="28"/>
          <w:szCs w:val="28"/>
        </w:rPr>
        <w:t xml:space="preserve"> и 201</w:t>
      </w:r>
      <w:r w:rsidR="00725A91" w:rsidRPr="001F0870">
        <w:rPr>
          <w:rStyle w:val="FontStyle14"/>
          <w:sz w:val="28"/>
          <w:szCs w:val="28"/>
        </w:rPr>
        <w:t>9</w:t>
      </w:r>
      <w:r w:rsidRPr="001F0870">
        <w:rPr>
          <w:rStyle w:val="FontStyle14"/>
          <w:sz w:val="28"/>
          <w:szCs w:val="28"/>
        </w:rPr>
        <w:t xml:space="preserve"> году при их корректировке и дальнейшей реализации.</w:t>
      </w:r>
    </w:p>
    <w:p w:rsidR="00B337FF" w:rsidRDefault="00B337FF" w:rsidP="00E77670">
      <w:pPr>
        <w:numPr>
          <w:ilvl w:val="1"/>
          <w:numId w:val="17"/>
        </w:numPr>
        <w:tabs>
          <w:tab w:val="left" w:pos="1276"/>
        </w:tabs>
        <w:ind w:left="0" w:firstLine="709"/>
        <w:rPr>
          <w:rStyle w:val="FontStyle14"/>
          <w:sz w:val="28"/>
          <w:szCs w:val="28"/>
        </w:rPr>
      </w:pPr>
      <w:r w:rsidRPr="001F0870">
        <w:t>При корректировке действующих государственных программ, а также п</w:t>
      </w:r>
      <w:r w:rsidRPr="001F0870">
        <w:rPr>
          <w:rStyle w:val="FontStyle14"/>
          <w:sz w:val="28"/>
          <w:szCs w:val="28"/>
        </w:rPr>
        <w:t>ри включении</w:t>
      </w:r>
      <w:r w:rsidR="00FF18A9" w:rsidRPr="001F0870">
        <w:rPr>
          <w:rStyle w:val="FontStyle14"/>
          <w:sz w:val="28"/>
          <w:szCs w:val="28"/>
        </w:rPr>
        <w:t xml:space="preserve"> или корректировки </w:t>
      </w:r>
      <w:r w:rsidRPr="001F0870">
        <w:rPr>
          <w:rStyle w:val="FontStyle14"/>
          <w:sz w:val="28"/>
          <w:szCs w:val="28"/>
        </w:rPr>
        <w:t xml:space="preserve">в </w:t>
      </w:r>
      <w:r w:rsidR="00FF18A9" w:rsidRPr="001F0870">
        <w:rPr>
          <w:rStyle w:val="FontStyle14"/>
          <w:sz w:val="28"/>
          <w:szCs w:val="28"/>
        </w:rPr>
        <w:t>проектах</w:t>
      </w:r>
      <w:r w:rsidRPr="001F0870">
        <w:rPr>
          <w:rStyle w:val="FontStyle14"/>
          <w:sz w:val="28"/>
          <w:szCs w:val="28"/>
        </w:rPr>
        <w:t xml:space="preserve"> государственных программ </w:t>
      </w:r>
      <w:r w:rsidRPr="001F0870">
        <w:t xml:space="preserve">Мурманской области на 2021-2025 годы показателей учесть выявленные факты отсутствия влияния </w:t>
      </w:r>
      <w:r w:rsidRPr="001F0870">
        <w:rPr>
          <w:rStyle w:val="FontStyle14"/>
          <w:sz w:val="28"/>
          <w:szCs w:val="28"/>
        </w:rPr>
        <w:t>мероприятий на значения показателей</w:t>
      </w:r>
      <w:r w:rsidRPr="001F0870">
        <w:t xml:space="preserve">, </w:t>
      </w:r>
      <w:r w:rsidRPr="001F0870">
        <w:rPr>
          <w:rStyle w:val="FontStyle14"/>
          <w:sz w:val="28"/>
          <w:szCs w:val="28"/>
        </w:rPr>
        <w:t>а также недостаточность предусмотренных</w:t>
      </w:r>
      <w:r w:rsidRPr="00B337FF">
        <w:rPr>
          <w:rStyle w:val="FontStyle14"/>
          <w:sz w:val="28"/>
          <w:szCs w:val="28"/>
        </w:rPr>
        <w:t xml:space="preserve"> мер для достижения целевых значений показателей (</w:t>
      </w:r>
      <w:r w:rsidRPr="00FF18A9">
        <w:rPr>
          <w:rStyle w:val="FontStyle14"/>
          <w:i/>
          <w:sz w:val="28"/>
          <w:szCs w:val="28"/>
        </w:rPr>
        <w:t>отсутствие корреляции коэффициентов К1 и К3</w:t>
      </w:r>
      <w:r w:rsidRPr="00B337FF">
        <w:rPr>
          <w:rStyle w:val="FontStyle14"/>
          <w:sz w:val="28"/>
          <w:szCs w:val="28"/>
        </w:rPr>
        <w:t>).</w:t>
      </w:r>
    </w:p>
    <w:p w:rsidR="00FF18A9" w:rsidRPr="006C3C5A" w:rsidRDefault="00FF18A9" w:rsidP="00E77670">
      <w:pPr>
        <w:numPr>
          <w:ilvl w:val="1"/>
          <w:numId w:val="17"/>
        </w:numPr>
        <w:tabs>
          <w:tab w:val="left" w:pos="1276"/>
        </w:tabs>
        <w:ind w:left="0" w:firstLine="709"/>
        <w:rPr>
          <w:rStyle w:val="FontStyle14"/>
          <w:sz w:val="28"/>
          <w:szCs w:val="28"/>
        </w:rPr>
      </w:pPr>
      <w:r w:rsidRPr="006C3C5A">
        <w:rPr>
          <w:rStyle w:val="FontStyle14"/>
          <w:sz w:val="28"/>
          <w:szCs w:val="28"/>
        </w:rPr>
        <w:t>Усилить контроль за своевременностью и качеством выполнения мероприятий в рамках государственных программ органами местного самоуправления, подведомственными организациями, исполнителями по контрактам.</w:t>
      </w:r>
    </w:p>
    <w:p w:rsidR="0035595D" w:rsidRPr="00FF18A9" w:rsidRDefault="0035595D" w:rsidP="00E77670">
      <w:pPr>
        <w:numPr>
          <w:ilvl w:val="1"/>
          <w:numId w:val="17"/>
        </w:numPr>
        <w:tabs>
          <w:tab w:val="left" w:pos="1276"/>
        </w:tabs>
        <w:ind w:left="0" w:firstLine="709"/>
        <w:rPr>
          <w:rStyle w:val="FontStyle14"/>
          <w:sz w:val="28"/>
          <w:szCs w:val="28"/>
        </w:rPr>
      </w:pPr>
      <w:r w:rsidRPr="00FF18A9">
        <w:rPr>
          <w:rStyle w:val="FontStyle14"/>
          <w:sz w:val="28"/>
          <w:szCs w:val="28"/>
        </w:rPr>
        <w:t xml:space="preserve">При включении в государственные программы </w:t>
      </w:r>
      <w:r w:rsidR="00CA7E38" w:rsidRPr="00E05304">
        <w:t xml:space="preserve">Мурманской области </w:t>
      </w:r>
      <w:r w:rsidRPr="00FF18A9">
        <w:rPr>
          <w:rStyle w:val="FontStyle14"/>
          <w:sz w:val="28"/>
          <w:szCs w:val="28"/>
        </w:rPr>
        <w:t>объектов капитального строительства и установлении плановых объемов финансирования по объектам учитывать сроки подготовки и проведения конкурсных процедур по отбору исполнителей и подрядчиков, а также возможност</w:t>
      </w:r>
      <w:r w:rsidR="00FF18A9">
        <w:rPr>
          <w:rStyle w:val="FontStyle14"/>
          <w:sz w:val="28"/>
          <w:szCs w:val="28"/>
        </w:rPr>
        <w:t>ь</w:t>
      </w:r>
      <w:r w:rsidRPr="00FF18A9">
        <w:rPr>
          <w:rStyle w:val="FontStyle14"/>
          <w:sz w:val="28"/>
          <w:szCs w:val="28"/>
        </w:rPr>
        <w:t xml:space="preserve"> выполнения запланированных объемов работ в установленные сроки.</w:t>
      </w:r>
    </w:p>
    <w:p w:rsidR="000F051C" w:rsidRPr="00E05304" w:rsidRDefault="00E77670" w:rsidP="000D6C97">
      <w:pPr>
        <w:pStyle w:val="ConsPlusCell"/>
        <w:numPr>
          <w:ilvl w:val="0"/>
          <w:numId w:val="17"/>
        </w:numPr>
        <w:tabs>
          <w:tab w:val="left" w:pos="1134"/>
        </w:tabs>
        <w:ind w:left="0" w:firstLine="709"/>
        <w:jc w:val="both"/>
        <w:rPr>
          <w:rStyle w:val="FontStyle14"/>
          <w:sz w:val="28"/>
          <w:szCs w:val="28"/>
        </w:rPr>
      </w:pPr>
      <w:r w:rsidRPr="00E05304">
        <w:rPr>
          <w:rStyle w:val="FontStyle14"/>
          <w:sz w:val="28"/>
          <w:szCs w:val="28"/>
        </w:rPr>
        <w:t xml:space="preserve">Министерству строительства </w:t>
      </w:r>
      <w:r w:rsidRPr="00E05304">
        <w:t>Мурманской области у</w:t>
      </w:r>
      <w:r w:rsidR="000F051C" w:rsidRPr="00E05304">
        <w:rPr>
          <w:rStyle w:val="FontStyle14"/>
          <w:sz w:val="28"/>
          <w:szCs w:val="28"/>
        </w:rPr>
        <w:t>силить контроль за ходом работ на объектах капитального строительства, включенных в государственные программы</w:t>
      </w:r>
      <w:r w:rsidR="00CA7E38" w:rsidRPr="00E05304">
        <w:t xml:space="preserve"> Мурманской области</w:t>
      </w:r>
      <w:r w:rsidR="000F051C" w:rsidRPr="00E05304">
        <w:rPr>
          <w:rStyle w:val="FontStyle14"/>
          <w:sz w:val="28"/>
          <w:szCs w:val="28"/>
        </w:rPr>
        <w:t>.</w:t>
      </w:r>
    </w:p>
    <w:p w:rsidR="000F051C" w:rsidRDefault="00E77670" w:rsidP="000D6C97">
      <w:pPr>
        <w:numPr>
          <w:ilvl w:val="0"/>
          <w:numId w:val="17"/>
        </w:numPr>
        <w:tabs>
          <w:tab w:val="left" w:pos="1134"/>
        </w:tabs>
        <w:ind w:left="0" w:firstLine="709"/>
        <w:rPr>
          <w:rStyle w:val="FontStyle14"/>
          <w:sz w:val="28"/>
          <w:szCs w:val="28"/>
        </w:rPr>
      </w:pPr>
      <w:r w:rsidRPr="00E05304">
        <w:rPr>
          <w:rStyle w:val="FontStyle14"/>
          <w:sz w:val="28"/>
          <w:szCs w:val="28"/>
        </w:rPr>
        <w:t xml:space="preserve">Министерству строительства </w:t>
      </w:r>
      <w:r w:rsidRPr="00E05304">
        <w:rPr>
          <w:szCs w:val="28"/>
        </w:rPr>
        <w:t>Мурманской области</w:t>
      </w:r>
      <w:r w:rsidR="002930E7" w:rsidRPr="00E05304">
        <w:rPr>
          <w:szCs w:val="28"/>
        </w:rPr>
        <w:t xml:space="preserve">, Министерству природных ресурсов и экологии Мурманской области, Министерству </w:t>
      </w:r>
      <w:r w:rsidR="00725A91">
        <w:rPr>
          <w:szCs w:val="28"/>
        </w:rPr>
        <w:t>спорта и молодежной политики</w:t>
      </w:r>
      <w:r w:rsidR="002930E7" w:rsidRPr="00E05304">
        <w:rPr>
          <w:szCs w:val="28"/>
        </w:rPr>
        <w:t xml:space="preserve"> Мурманской области</w:t>
      </w:r>
      <w:r w:rsidR="002E4E0C" w:rsidRPr="00E05304">
        <w:rPr>
          <w:szCs w:val="28"/>
        </w:rPr>
        <w:t xml:space="preserve"> и </w:t>
      </w:r>
      <w:r w:rsidR="00725A91">
        <w:rPr>
          <w:szCs w:val="28"/>
        </w:rPr>
        <w:t xml:space="preserve">Министерству инвестиций, </w:t>
      </w:r>
      <w:r w:rsidR="00725A91" w:rsidRPr="00725A91">
        <w:rPr>
          <w:szCs w:val="28"/>
        </w:rPr>
        <w:t>развития предпринимательства и рыбного хозяйства Мурманской области</w:t>
      </w:r>
      <w:r w:rsidR="00725A91" w:rsidRPr="00E05304">
        <w:rPr>
          <w:szCs w:val="28"/>
        </w:rPr>
        <w:t xml:space="preserve"> </w:t>
      </w:r>
      <w:r w:rsidR="002930E7" w:rsidRPr="00E05304">
        <w:rPr>
          <w:szCs w:val="28"/>
        </w:rPr>
        <w:t>п</w:t>
      </w:r>
      <w:r w:rsidR="000F051C" w:rsidRPr="00725A91">
        <w:t>ринять</w:t>
      </w:r>
      <w:r w:rsidR="000F051C" w:rsidRPr="00E05304">
        <w:rPr>
          <w:rStyle w:val="FontStyle14"/>
          <w:sz w:val="28"/>
          <w:szCs w:val="28"/>
        </w:rPr>
        <w:t xml:space="preserve"> меры по повышению эффективности реализации государственн</w:t>
      </w:r>
      <w:r w:rsidR="002930E7" w:rsidRPr="00E05304">
        <w:rPr>
          <w:rStyle w:val="FontStyle14"/>
          <w:sz w:val="28"/>
          <w:szCs w:val="28"/>
        </w:rPr>
        <w:t>ых программ Мурманской области, в отношении которых они являются ответственными исполнителями.</w:t>
      </w:r>
    </w:p>
    <w:p w:rsidR="00600741" w:rsidRPr="00FF18A9" w:rsidRDefault="0035595D" w:rsidP="0035595D">
      <w:pPr>
        <w:pStyle w:val="ConsPlusCell"/>
        <w:tabs>
          <w:tab w:val="left" w:pos="1134"/>
        </w:tabs>
        <w:jc w:val="center"/>
        <w:rPr>
          <w:rStyle w:val="FontStyle14"/>
          <w:sz w:val="28"/>
          <w:szCs w:val="28"/>
        </w:rPr>
      </w:pPr>
      <w:r w:rsidRPr="00FF18A9">
        <w:rPr>
          <w:rStyle w:val="FontStyle14"/>
          <w:sz w:val="28"/>
          <w:szCs w:val="28"/>
        </w:rPr>
        <w:t>_____________</w:t>
      </w:r>
    </w:p>
    <w:p w:rsidR="00600741" w:rsidRDefault="00600741"/>
    <w:p w:rsidR="0035595D" w:rsidRPr="005A5A01" w:rsidRDefault="0035595D" w:rsidP="00600741">
      <w:pPr>
        <w:pStyle w:val="ConsPlusCell"/>
        <w:tabs>
          <w:tab w:val="left" w:pos="1134"/>
        </w:tabs>
        <w:jc w:val="center"/>
        <w:rPr>
          <w:rStyle w:val="FontStyle14"/>
          <w:sz w:val="28"/>
          <w:szCs w:val="28"/>
        </w:rPr>
      </w:pPr>
    </w:p>
    <w:sectPr w:rsidR="0035595D" w:rsidRPr="005A5A01" w:rsidSect="00EC205D">
      <w:pgSz w:w="11906" w:h="16838"/>
      <w:pgMar w:top="1134" w:right="851"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3168" w:rsidRDefault="00173168" w:rsidP="009C670B">
      <w:r>
        <w:separator/>
      </w:r>
    </w:p>
  </w:endnote>
  <w:endnote w:type="continuationSeparator" w:id="1">
    <w:p w:rsidR="00173168" w:rsidRDefault="00173168" w:rsidP="009C67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3168" w:rsidRDefault="00173168" w:rsidP="009C670B">
      <w:r>
        <w:separator/>
      </w:r>
    </w:p>
  </w:footnote>
  <w:footnote w:type="continuationSeparator" w:id="1">
    <w:p w:rsidR="00173168" w:rsidRDefault="00173168" w:rsidP="009C67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16A" w:rsidRPr="00CD51CC" w:rsidRDefault="00F3152B" w:rsidP="008D2A7E">
    <w:pPr>
      <w:pStyle w:val="af5"/>
      <w:ind w:firstLine="0"/>
      <w:jc w:val="center"/>
      <w:rPr>
        <w:sz w:val="20"/>
      </w:rPr>
    </w:pPr>
    <w:r w:rsidRPr="00CD51CC">
      <w:rPr>
        <w:sz w:val="20"/>
      </w:rPr>
      <w:fldChar w:fldCharType="begin"/>
    </w:r>
    <w:r w:rsidR="00CF016A" w:rsidRPr="00CD51CC">
      <w:rPr>
        <w:sz w:val="20"/>
      </w:rPr>
      <w:instrText>PAGE   \* MERGEFORMAT</w:instrText>
    </w:r>
    <w:r w:rsidRPr="00CD51CC">
      <w:rPr>
        <w:sz w:val="20"/>
      </w:rPr>
      <w:fldChar w:fldCharType="separate"/>
    </w:r>
    <w:r w:rsidR="00E11944">
      <w:rPr>
        <w:noProof/>
        <w:sz w:val="20"/>
      </w:rPr>
      <w:t>8</w:t>
    </w:r>
    <w:r w:rsidRPr="00CD51CC">
      <w:rPr>
        <w:sz w:val="20"/>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16A" w:rsidRPr="00CD51CC" w:rsidRDefault="00F3152B" w:rsidP="008D2A7E">
    <w:pPr>
      <w:pStyle w:val="af5"/>
      <w:ind w:firstLine="0"/>
      <w:jc w:val="center"/>
      <w:rPr>
        <w:sz w:val="20"/>
      </w:rPr>
    </w:pPr>
    <w:r w:rsidRPr="00CD51CC">
      <w:rPr>
        <w:sz w:val="20"/>
      </w:rPr>
      <w:fldChar w:fldCharType="begin"/>
    </w:r>
    <w:r w:rsidR="00CF016A" w:rsidRPr="00CD51CC">
      <w:rPr>
        <w:sz w:val="20"/>
      </w:rPr>
      <w:instrText>PAGE   \* MERGEFORMAT</w:instrText>
    </w:r>
    <w:r w:rsidRPr="00CD51CC">
      <w:rPr>
        <w:sz w:val="20"/>
      </w:rPr>
      <w:fldChar w:fldCharType="separate"/>
    </w:r>
    <w:r w:rsidR="00E11944">
      <w:rPr>
        <w:noProof/>
        <w:sz w:val="20"/>
      </w:rPr>
      <w:t>12</w:t>
    </w:r>
    <w:r w:rsidRPr="00CD51CC">
      <w:rPr>
        <w:sz w:val="20"/>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02404"/>
    <w:multiLevelType w:val="hybridMultilevel"/>
    <w:tmpl w:val="EECA7440"/>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9656B66"/>
    <w:multiLevelType w:val="hybridMultilevel"/>
    <w:tmpl w:val="F9082E5C"/>
    <w:lvl w:ilvl="0" w:tplc="EB22F734">
      <w:start w:val="1"/>
      <w:numFmt w:val="bullet"/>
      <w:lvlText w:val="-"/>
      <w:lvlJc w:val="left"/>
      <w:pPr>
        <w:ind w:left="360" w:hanging="360"/>
      </w:pPr>
      <w:rPr>
        <w:rFonts w:ascii="SimSun" w:eastAsia="SimSun" w:hAnsi="SimSun" w:hint="eastAsia"/>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296B2518"/>
    <w:multiLevelType w:val="hybridMultilevel"/>
    <w:tmpl w:val="9DC4F1E8"/>
    <w:lvl w:ilvl="0" w:tplc="48EE2602">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3">
    <w:nsid w:val="2FA641E7"/>
    <w:multiLevelType w:val="hybridMultilevel"/>
    <w:tmpl w:val="EBCEE28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31D02BCD"/>
    <w:multiLevelType w:val="hybridMultilevel"/>
    <w:tmpl w:val="4650B914"/>
    <w:lvl w:ilvl="0" w:tplc="48EE260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4500584C"/>
    <w:multiLevelType w:val="hybridMultilevel"/>
    <w:tmpl w:val="3D00BCCC"/>
    <w:lvl w:ilvl="0" w:tplc="EF1A39B0">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4E9B587D"/>
    <w:multiLevelType w:val="hybridMultilevel"/>
    <w:tmpl w:val="1388B00A"/>
    <w:lvl w:ilvl="0" w:tplc="48EE2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5DBE1F03"/>
    <w:multiLevelType w:val="multilevel"/>
    <w:tmpl w:val="0419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5E1F1B82"/>
    <w:multiLevelType w:val="hybridMultilevel"/>
    <w:tmpl w:val="1E0C226A"/>
    <w:lvl w:ilvl="0" w:tplc="EF1A39B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5E3153FA"/>
    <w:multiLevelType w:val="hybridMultilevel"/>
    <w:tmpl w:val="BB08954E"/>
    <w:lvl w:ilvl="0" w:tplc="EF1A39B0">
      <w:start w:val="1"/>
      <w:numFmt w:val="bullet"/>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0">
    <w:nsid w:val="66B27F49"/>
    <w:multiLevelType w:val="hybridMultilevel"/>
    <w:tmpl w:val="E9B453BC"/>
    <w:lvl w:ilvl="0" w:tplc="EF1A39B0">
      <w:start w:val="1"/>
      <w:numFmt w:val="bullet"/>
      <w:lvlText w:val="-"/>
      <w:lvlJc w:val="left"/>
      <w:pPr>
        <w:ind w:left="1353" w:hanging="360"/>
      </w:pPr>
      <w:rPr>
        <w:rFonts w:ascii="Times New Roman" w:hAnsi="Times New Roman" w:cs="Times New Roman"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1">
    <w:nsid w:val="69885437"/>
    <w:multiLevelType w:val="hybridMultilevel"/>
    <w:tmpl w:val="13D655FC"/>
    <w:lvl w:ilvl="0" w:tplc="48EE2602">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2">
    <w:nsid w:val="6C4572B2"/>
    <w:multiLevelType w:val="hybridMultilevel"/>
    <w:tmpl w:val="C6089602"/>
    <w:lvl w:ilvl="0" w:tplc="48EE260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FDB7295"/>
    <w:multiLevelType w:val="hybridMultilevel"/>
    <w:tmpl w:val="0A3A92A8"/>
    <w:lvl w:ilvl="0" w:tplc="EF1A39B0">
      <w:start w:val="1"/>
      <w:numFmt w:val="bullet"/>
      <w:lvlText w:val="-"/>
      <w:lvlJc w:val="left"/>
      <w:pPr>
        <w:ind w:left="1211"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9811E81"/>
    <w:multiLevelType w:val="hybridMultilevel"/>
    <w:tmpl w:val="FEFEF742"/>
    <w:lvl w:ilvl="0" w:tplc="48EE260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nsid w:val="7FB754CA"/>
    <w:multiLevelType w:val="hybridMultilevel"/>
    <w:tmpl w:val="1D8859FA"/>
    <w:lvl w:ilvl="0" w:tplc="EB22F734">
      <w:start w:val="1"/>
      <w:numFmt w:val="bullet"/>
      <w:lvlText w:val="-"/>
      <w:lvlJc w:val="left"/>
      <w:pPr>
        <w:ind w:left="1502" w:hanging="360"/>
      </w:pPr>
      <w:rPr>
        <w:rFonts w:ascii="SimSun" w:eastAsia="SimSun" w:hAnsi="SimSun" w:hint="eastAsia"/>
      </w:rPr>
    </w:lvl>
    <w:lvl w:ilvl="1" w:tplc="04190003" w:tentative="1">
      <w:start w:val="1"/>
      <w:numFmt w:val="bullet"/>
      <w:lvlText w:val="o"/>
      <w:lvlJc w:val="left"/>
      <w:pPr>
        <w:ind w:left="2222" w:hanging="360"/>
      </w:pPr>
      <w:rPr>
        <w:rFonts w:ascii="Courier New" w:hAnsi="Courier New" w:cs="Courier New" w:hint="default"/>
      </w:rPr>
    </w:lvl>
    <w:lvl w:ilvl="2" w:tplc="04190005" w:tentative="1">
      <w:start w:val="1"/>
      <w:numFmt w:val="bullet"/>
      <w:lvlText w:val=""/>
      <w:lvlJc w:val="left"/>
      <w:pPr>
        <w:ind w:left="2942" w:hanging="360"/>
      </w:pPr>
      <w:rPr>
        <w:rFonts w:ascii="Wingdings" w:hAnsi="Wingdings" w:hint="default"/>
      </w:rPr>
    </w:lvl>
    <w:lvl w:ilvl="3" w:tplc="04190001" w:tentative="1">
      <w:start w:val="1"/>
      <w:numFmt w:val="bullet"/>
      <w:lvlText w:val=""/>
      <w:lvlJc w:val="left"/>
      <w:pPr>
        <w:ind w:left="3662" w:hanging="360"/>
      </w:pPr>
      <w:rPr>
        <w:rFonts w:ascii="Symbol" w:hAnsi="Symbol" w:hint="default"/>
      </w:rPr>
    </w:lvl>
    <w:lvl w:ilvl="4" w:tplc="04190003" w:tentative="1">
      <w:start w:val="1"/>
      <w:numFmt w:val="bullet"/>
      <w:lvlText w:val="o"/>
      <w:lvlJc w:val="left"/>
      <w:pPr>
        <w:ind w:left="4382" w:hanging="360"/>
      </w:pPr>
      <w:rPr>
        <w:rFonts w:ascii="Courier New" w:hAnsi="Courier New" w:cs="Courier New" w:hint="default"/>
      </w:rPr>
    </w:lvl>
    <w:lvl w:ilvl="5" w:tplc="04190005" w:tentative="1">
      <w:start w:val="1"/>
      <w:numFmt w:val="bullet"/>
      <w:lvlText w:val=""/>
      <w:lvlJc w:val="left"/>
      <w:pPr>
        <w:ind w:left="5102" w:hanging="360"/>
      </w:pPr>
      <w:rPr>
        <w:rFonts w:ascii="Wingdings" w:hAnsi="Wingdings" w:hint="default"/>
      </w:rPr>
    </w:lvl>
    <w:lvl w:ilvl="6" w:tplc="04190001" w:tentative="1">
      <w:start w:val="1"/>
      <w:numFmt w:val="bullet"/>
      <w:lvlText w:val=""/>
      <w:lvlJc w:val="left"/>
      <w:pPr>
        <w:ind w:left="5822" w:hanging="360"/>
      </w:pPr>
      <w:rPr>
        <w:rFonts w:ascii="Symbol" w:hAnsi="Symbol" w:hint="default"/>
      </w:rPr>
    </w:lvl>
    <w:lvl w:ilvl="7" w:tplc="04190003" w:tentative="1">
      <w:start w:val="1"/>
      <w:numFmt w:val="bullet"/>
      <w:lvlText w:val="o"/>
      <w:lvlJc w:val="left"/>
      <w:pPr>
        <w:ind w:left="6542" w:hanging="360"/>
      </w:pPr>
      <w:rPr>
        <w:rFonts w:ascii="Courier New" w:hAnsi="Courier New" w:cs="Courier New" w:hint="default"/>
      </w:rPr>
    </w:lvl>
    <w:lvl w:ilvl="8" w:tplc="04190005" w:tentative="1">
      <w:start w:val="1"/>
      <w:numFmt w:val="bullet"/>
      <w:lvlText w:val=""/>
      <w:lvlJc w:val="left"/>
      <w:pPr>
        <w:ind w:left="7262" w:hanging="360"/>
      </w:pPr>
      <w:rPr>
        <w:rFonts w:ascii="Wingdings" w:hAnsi="Wingdings" w:hint="default"/>
      </w:rPr>
    </w:lvl>
  </w:abstractNum>
  <w:num w:numId="1">
    <w:abstractNumId w:val="2"/>
  </w:num>
  <w:num w:numId="2">
    <w:abstractNumId w:val="6"/>
  </w:num>
  <w:num w:numId="3">
    <w:abstractNumId w:val="4"/>
  </w:num>
  <w:num w:numId="4">
    <w:abstractNumId w:val="10"/>
  </w:num>
  <w:num w:numId="5">
    <w:abstractNumId w:val="10"/>
  </w:num>
  <w:num w:numId="6">
    <w:abstractNumId w:val="8"/>
  </w:num>
  <w:num w:numId="7">
    <w:abstractNumId w:val="5"/>
  </w:num>
  <w:num w:numId="8">
    <w:abstractNumId w:val="11"/>
  </w:num>
  <w:num w:numId="9">
    <w:abstractNumId w:val="12"/>
  </w:num>
  <w:num w:numId="10">
    <w:abstractNumId w:val="14"/>
  </w:num>
  <w:num w:numId="11">
    <w:abstractNumId w:val="3"/>
  </w:num>
  <w:num w:numId="12">
    <w:abstractNumId w:val="0"/>
  </w:num>
  <w:num w:numId="13">
    <w:abstractNumId w:val="13"/>
  </w:num>
  <w:num w:numId="14">
    <w:abstractNumId w:val="9"/>
  </w:num>
  <w:num w:numId="15">
    <w:abstractNumId w:val="12"/>
  </w:num>
  <w:num w:numId="16">
    <w:abstractNumId w:val="1"/>
  </w:num>
  <w:num w:numId="17">
    <w:abstractNumId w:val="7"/>
  </w:num>
  <w:num w:numId="1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ctiveWritingStyle w:appName="MSWord" w:lang="ru-RU" w:vendorID="1" w:dllVersion="512" w:checkStyle="1"/>
  <w:defaultTabStop w:val="708"/>
  <w:characterSpacingControl w:val="doNotCompress"/>
  <w:footnotePr>
    <w:footnote w:id="0"/>
    <w:footnote w:id="1"/>
  </w:footnotePr>
  <w:endnotePr>
    <w:endnote w:id="0"/>
    <w:endnote w:id="1"/>
  </w:endnotePr>
  <w:compat/>
  <w:rsids>
    <w:rsidRoot w:val="009C670B"/>
    <w:rsid w:val="0000353B"/>
    <w:rsid w:val="00004BCE"/>
    <w:rsid w:val="000053CA"/>
    <w:rsid w:val="00006FB7"/>
    <w:rsid w:val="00007768"/>
    <w:rsid w:val="00021306"/>
    <w:rsid w:val="00026CE8"/>
    <w:rsid w:val="00035469"/>
    <w:rsid w:val="0003696C"/>
    <w:rsid w:val="00040E39"/>
    <w:rsid w:val="0004271F"/>
    <w:rsid w:val="00042A8A"/>
    <w:rsid w:val="0004357D"/>
    <w:rsid w:val="0004405C"/>
    <w:rsid w:val="000454F6"/>
    <w:rsid w:val="00050B15"/>
    <w:rsid w:val="00052625"/>
    <w:rsid w:val="00052ADF"/>
    <w:rsid w:val="00054CE7"/>
    <w:rsid w:val="0006377F"/>
    <w:rsid w:val="00066CF8"/>
    <w:rsid w:val="00072FFA"/>
    <w:rsid w:val="000744BF"/>
    <w:rsid w:val="000756AB"/>
    <w:rsid w:val="00075EF4"/>
    <w:rsid w:val="000844D1"/>
    <w:rsid w:val="000857A2"/>
    <w:rsid w:val="00090C0F"/>
    <w:rsid w:val="00092ADC"/>
    <w:rsid w:val="00093198"/>
    <w:rsid w:val="00096B18"/>
    <w:rsid w:val="000C166C"/>
    <w:rsid w:val="000C1919"/>
    <w:rsid w:val="000C3D4D"/>
    <w:rsid w:val="000C4690"/>
    <w:rsid w:val="000C46D5"/>
    <w:rsid w:val="000C57FD"/>
    <w:rsid w:val="000C6492"/>
    <w:rsid w:val="000D07E4"/>
    <w:rsid w:val="000D1687"/>
    <w:rsid w:val="000D1D2C"/>
    <w:rsid w:val="000D2EEA"/>
    <w:rsid w:val="000D4E20"/>
    <w:rsid w:val="000D579D"/>
    <w:rsid w:val="000D6C97"/>
    <w:rsid w:val="000D7C80"/>
    <w:rsid w:val="000E1366"/>
    <w:rsid w:val="000E5AD0"/>
    <w:rsid w:val="000F051C"/>
    <w:rsid w:val="000F166E"/>
    <w:rsid w:val="000F218D"/>
    <w:rsid w:val="00100C78"/>
    <w:rsid w:val="00103CC4"/>
    <w:rsid w:val="0010420F"/>
    <w:rsid w:val="001100C3"/>
    <w:rsid w:val="00110B85"/>
    <w:rsid w:val="00111A80"/>
    <w:rsid w:val="00113018"/>
    <w:rsid w:val="0011585F"/>
    <w:rsid w:val="001177F3"/>
    <w:rsid w:val="001303A7"/>
    <w:rsid w:val="0013062C"/>
    <w:rsid w:val="001317ED"/>
    <w:rsid w:val="00135D0B"/>
    <w:rsid w:val="00140E65"/>
    <w:rsid w:val="00145BB5"/>
    <w:rsid w:val="00145ED9"/>
    <w:rsid w:val="00147367"/>
    <w:rsid w:val="00153AE8"/>
    <w:rsid w:val="001606E3"/>
    <w:rsid w:val="00162BAB"/>
    <w:rsid w:val="001634C0"/>
    <w:rsid w:val="001642B7"/>
    <w:rsid w:val="0016619B"/>
    <w:rsid w:val="00167178"/>
    <w:rsid w:val="00173168"/>
    <w:rsid w:val="00173A4C"/>
    <w:rsid w:val="001801E1"/>
    <w:rsid w:val="00181945"/>
    <w:rsid w:val="001833B1"/>
    <w:rsid w:val="0018421F"/>
    <w:rsid w:val="001849D4"/>
    <w:rsid w:val="001865E2"/>
    <w:rsid w:val="00187663"/>
    <w:rsid w:val="001919EC"/>
    <w:rsid w:val="001A3812"/>
    <w:rsid w:val="001A3D88"/>
    <w:rsid w:val="001A42C3"/>
    <w:rsid w:val="001A6BB1"/>
    <w:rsid w:val="001B0826"/>
    <w:rsid w:val="001B2DE8"/>
    <w:rsid w:val="001B4B37"/>
    <w:rsid w:val="001B511A"/>
    <w:rsid w:val="001B5AD9"/>
    <w:rsid w:val="001C19C7"/>
    <w:rsid w:val="001C3429"/>
    <w:rsid w:val="001C3D19"/>
    <w:rsid w:val="001D0E06"/>
    <w:rsid w:val="001D40BA"/>
    <w:rsid w:val="001D760D"/>
    <w:rsid w:val="001E213B"/>
    <w:rsid w:val="001E2CB8"/>
    <w:rsid w:val="001E53B3"/>
    <w:rsid w:val="001E6325"/>
    <w:rsid w:val="001E7185"/>
    <w:rsid w:val="001F0870"/>
    <w:rsid w:val="001F5BBE"/>
    <w:rsid w:val="00201B4E"/>
    <w:rsid w:val="00201D9B"/>
    <w:rsid w:val="0020271B"/>
    <w:rsid w:val="00202D3B"/>
    <w:rsid w:val="00205D63"/>
    <w:rsid w:val="002105E3"/>
    <w:rsid w:val="00212D1E"/>
    <w:rsid w:val="002227AE"/>
    <w:rsid w:val="002271A6"/>
    <w:rsid w:val="002308BD"/>
    <w:rsid w:val="002354D2"/>
    <w:rsid w:val="00236196"/>
    <w:rsid w:val="00241477"/>
    <w:rsid w:val="00246FC7"/>
    <w:rsid w:val="00252F01"/>
    <w:rsid w:val="00255A13"/>
    <w:rsid w:val="00256E68"/>
    <w:rsid w:val="00264419"/>
    <w:rsid w:val="00265124"/>
    <w:rsid w:val="002747BC"/>
    <w:rsid w:val="002802A9"/>
    <w:rsid w:val="00280567"/>
    <w:rsid w:val="00284B4F"/>
    <w:rsid w:val="002930E7"/>
    <w:rsid w:val="00293ABB"/>
    <w:rsid w:val="002B26C5"/>
    <w:rsid w:val="002B7798"/>
    <w:rsid w:val="002C3173"/>
    <w:rsid w:val="002C4166"/>
    <w:rsid w:val="002D2008"/>
    <w:rsid w:val="002D5D86"/>
    <w:rsid w:val="002E1044"/>
    <w:rsid w:val="002E4E0C"/>
    <w:rsid w:val="002F00D1"/>
    <w:rsid w:val="002F3DAF"/>
    <w:rsid w:val="002F5E64"/>
    <w:rsid w:val="002F7133"/>
    <w:rsid w:val="002F7E46"/>
    <w:rsid w:val="002F7F7E"/>
    <w:rsid w:val="003020A9"/>
    <w:rsid w:val="0030606A"/>
    <w:rsid w:val="0030705A"/>
    <w:rsid w:val="00314E37"/>
    <w:rsid w:val="0031542C"/>
    <w:rsid w:val="00316CE9"/>
    <w:rsid w:val="00324867"/>
    <w:rsid w:val="00326080"/>
    <w:rsid w:val="00341FC6"/>
    <w:rsid w:val="003425D7"/>
    <w:rsid w:val="003443E8"/>
    <w:rsid w:val="00344854"/>
    <w:rsid w:val="0035595D"/>
    <w:rsid w:val="00355E08"/>
    <w:rsid w:val="003639FF"/>
    <w:rsid w:val="00363ABE"/>
    <w:rsid w:val="00366C6F"/>
    <w:rsid w:val="003703E2"/>
    <w:rsid w:val="00376B46"/>
    <w:rsid w:val="00380ABF"/>
    <w:rsid w:val="003817F5"/>
    <w:rsid w:val="00381E7A"/>
    <w:rsid w:val="003835AF"/>
    <w:rsid w:val="00384B62"/>
    <w:rsid w:val="0038534A"/>
    <w:rsid w:val="00390CDF"/>
    <w:rsid w:val="00391BE8"/>
    <w:rsid w:val="0039379B"/>
    <w:rsid w:val="003A134B"/>
    <w:rsid w:val="003A168A"/>
    <w:rsid w:val="003A3371"/>
    <w:rsid w:val="003A782B"/>
    <w:rsid w:val="003B3A38"/>
    <w:rsid w:val="003B43FB"/>
    <w:rsid w:val="003C1DB0"/>
    <w:rsid w:val="003C59B2"/>
    <w:rsid w:val="003D1D47"/>
    <w:rsid w:val="003D293A"/>
    <w:rsid w:val="003D2FBD"/>
    <w:rsid w:val="003D6664"/>
    <w:rsid w:val="003E2A69"/>
    <w:rsid w:val="003E6139"/>
    <w:rsid w:val="003E6B4A"/>
    <w:rsid w:val="003F1C8E"/>
    <w:rsid w:val="003F33E7"/>
    <w:rsid w:val="003F5762"/>
    <w:rsid w:val="003F6518"/>
    <w:rsid w:val="00401F05"/>
    <w:rsid w:val="00411A30"/>
    <w:rsid w:val="004135B6"/>
    <w:rsid w:val="0042089B"/>
    <w:rsid w:val="004222B5"/>
    <w:rsid w:val="00422948"/>
    <w:rsid w:val="0043425A"/>
    <w:rsid w:val="00436A5C"/>
    <w:rsid w:val="00440D03"/>
    <w:rsid w:val="00441090"/>
    <w:rsid w:val="00441A2F"/>
    <w:rsid w:val="00442035"/>
    <w:rsid w:val="00442847"/>
    <w:rsid w:val="00443037"/>
    <w:rsid w:val="004437A7"/>
    <w:rsid w:val="00453435"/>
    <w:rsid w:val="00456B34"/>
    <w:rsid w:val="00457D20"/>
    <w:rsid w:val="004606DE"/>
    <w:rsid w:val="00463886"/>
    <w:rsid w:val="0046420A"/>
    <w:rsid w:val="00464DC4"/>
    <w:rsid w:val="00464F42"/>
    <w:rsid w:val="004716AA"/>
    <w:rsid w:val="00471915"/>
    <w:rsid w:val="00486F35"/>
    <w:rsid w:val="00487AF2"/>
    <w:rsid w:val="00491D84"/>
    <w:rsid w:val="00492FE1"/>
    <w:rsid w:val="004A0D9B"/>
    <w:rsid w:val="004A2E7A"/>
    <w:rsid w:val="004A6A6E"/>
    <w:rsid w:val="004A7575"/>
    <w:rsid w:val="004B2D6E"/>
    <w:rsid w:val="004B3988"/>
    <w:rsid w:val="004B5693"/>
    <w:rsid w:val="004B5CCD"/>
    <w:rsid w:val="004C659E"/>
    <w:rsid w:val="004D3F9A"/>
    <w:rsid w:val="004D4D91"/>
    <w:rsid w:val="004D78A1"/>
    <w:rsid w:val="004E53DC"/>
    <w:rsid w:val="004E623E"/>
    <w:rsid w:val="004F1ACD"/>
    <w:rsid w:val="004F720E"/>
    <w:rsid w:val="00501EE5"/>
    <w:rsid w:val="00506015"/>
    <w:rsid w:val="005151C6"/>
    <w:rsid w:val="00521C82"/>
    <w:rsid w:val="00521D21"/>
    <w:rsid w:val="0052275F"/>
    <w:rsid w:val="0052599D"/>
    <w:rsid w:val="00530F76"/>
    <w:rsid w:val="00533A9E"/>
    <w:rsid w:val="00537521"/>
    <w:rsid w:val="00547806"/>
    <w:rsid w:val="00556361"/>
    <w:rsid w:val="0055692C"/>
    <w:rsid w:val="00556DE7"/>
    <w:rsid w:val="00561404"/>
    <w:rsid w:val="005827D3"/>
    <w:rsid w:val="0058322B"/>
    <w:rsid w:val="00583A54"/>
    <w:rsid w:val="00586588"/>
    <w:rsid w:val="00587B7A"/>
    <w:rsid w:val="00590033"/>
    <w:rsid w:val="00590BB1"/>
    <w:rsid w:val="00591F97"/>
    <w:rsid w:val="00593740"/>
    <w:rsid w:val="00594DCD"/>
    <w:rsid w:val="0059641A"/>
    <w:rsid w:val="00597D62"/>
    <w:rsid w:val="005A0880"/>
    <w:rsid w:val="005A1EE2"/>
    <w:rsid w:val="005A4392"/>
    <w:rsid w:val="005A5A01"/>
    <w:rsid w:val="005A5B71"/>
    <w:rsid w:val="005B01DB"/>
    <w:rsid w:val="005B1778"/>
    <w:rsid w:val="005B25CA"/>
    <w:rsid w:val="005B6C70"/>
    <w:rsid w:val="005C1E55"/>
    <w:rsid w:val="005C2A2E"/>
    <w:rsid w:val="005C5630"/>
    <w:rsid w:val="005C639B"/>
    <w:rsid w:val="005C78DC"/>
    <w:rsid w:val="005D36C7"/>
    <w:rsid w:val="005D3C25"/>
    <w:rsid w:val="005E3126"/>
    <w:rsid w:val="005E51B9"/>
    <w:rsid w:val="005E61B5"/>
    <w:rsid w:val="005F74F6"/>
    <w:rsid w:val="00600741"/>
    <w:rsid w:val="0061077A"/>
    <w:rsid w:val="00611FA3"/>
    <w:rsid w:val="0061269E"/>
    <w:rsid w:val="006127AB"/>
    <w:rsid w:val="00613A33"/>
    <w:rsid w:val="006244A7"/>
    <w:rsid w:val="00630395"/>
    <w:rsid w:val="00634122"/>
    <w:rsid w:val="0063479B"/>
    <w:rsid w:val="00636898"/>
    <w:rsid w:val="00643F33"/>
    <w:rsid w:val="00645C72"/>
    <w:rsid w:val="00653623"/>
    <w:rsid w:val="00654599"/>
    <w:rsid w:val="0065467F"/>
    <w:rsid w:val="006612C0"/>
    <w:rsid w:val="00664C94"/>
    <w:rsid w:val="0067410B"/>
    <w:rsid w:val="00677B27"/>
    <w:rsid w:val="0068036A"/>
    <w:rsid w:val="00681450"/>
    <w:rsid w:val="00683706"/>
    <w:rsid w:val="00687463"/>
    <w:rsid w:val="00690528"/>
    <w:rsid w:val="006923BB"/>
    <w:rsid w:val="00694DD5"/>
    <w:rsid w:val="0069584B"/>
    <w:rsid w:val="006A0974"/>
    <w:rsid w:val="006A32CF"/>
    <w:rsid w:val="006A44AA"/>
    <w:rsid w:val="006B2E13"/>
    <w:rsid w:val="006B65A7"/>
    <w:rsid w:val="006C28BD"/>
    <w:rsid w:val="006C3C5A"/>
    <w:rsid w:val="006D088C"/>
    <w:rsid w:val="006D111C"/>
    <w:rsid w:val="006D15AC"/>
    <w:rsid w:val="006D27FE"/>
    <w:rsid w:val="006D4287"/>
    <w:rsid w:val="006D5637"/>
    <w:rsid w:val="006E047B"/>
    <w:rsid w:val="006E6B1D"/>
    <w:rsid w:val="006E7FCD"/>
    <w:rsid w:val="006F4D31"/>
    <w:rsid w:val="007011C4"/>
    <w:rsid w:val="00710ED2"/>
    <w:rsid w:val="007213EE"/>
    <w:rsid w:val="00721BAC"/>
    <w:rsid w:val="00721C22"/>
    <w:rsid w:val="00721FF5"/>
    <w:rsid w:val="00724B7F"/>
    <w:rsid w:val="00724D01"/>
    <w:rsid w:val="00725A91"/>
    <w:rsid w:val="007312A8"/>
    <w:rsid w:val="007344F3"/>
    <w:rsid w:val="00734FA8"/>
    <w:rsid w:val="00740E25"/>
    <w:rsid w:val="007443BD"/>
    <w:rsid w:val="00747694"/>
    <w:rsid w:val="00752FA1"/>
    <w:rsid w:val="007621A8"/>
    <w:rsid w:val="00764276"/>
    <w:rsid w:val="007648E9"/>
    <w:rsid w:val="0076508C"/>
    <w:rsid w:val="00766CA3"/>
    <w:rsid w:val="007719F1"/>
    <w:rsid w:val="00772BE7"/>
    <w:rsid w:val="00774DAD"/>
    <w:rsid w:val="007757A9"/>
    <w:rsid w:val="00777563"/>
    <w:rsid w:val="00777777"/>
    <w:rsid w:val="00785096"/>
    <w:rsid w:val="007914A6"/>
    <w:rsid w:val="0079187D"/>
    <w:rsid w:val="007936BA"/>
    <w:rsid w:val="00796CD3"/>
    <w:rsid w:val="007A020E"/>
    <w:rsid w:val="007A158D"/>
    <w:rsid w:val="007A6231"/>
    <w:rsid w:val="007B131E"/>
    <w:rsid w:val="007B4075"/>
    <w:rsid w:val="007C23AE"/>
    <w:rsid w:val="007C2DC8"/>
    <w:rsid w:val="007C6D2A"/>
    <w:rsid w:val="007D3A7A"/>
    <w:rsid w:val="007D7B7B"/>
    <w:rsid w:val="007E0E64"/>
    <w:rsid w:val="007E5D0A"/>
    <w:rsid w:val="007F1C9D"/>
    <w:rsid w:val="007F3AAF"/>
    <w:rsid w:val="007F64F7"/>
    <w:rsid w:val="007F759F"/>
    <w:rsid w:val="008033DB"/>
    <w:rsid w:val="00804821"/>
    <w:rsid w:val="008059B3"/>
    <w:rsid w:val="00812A7F"/>
    <w:rsid w:val="00816052"/>
    <w:rsid w:val="008232C6"/>
    <w:rsid w:val="00823926"/>
    <w:rsid w:val="00827F59"/>
    <w:rsid w:val="0083380D"/>
    <w:rsid w:val="00834828"/>
    <w:rsid w:val="00835829"/>
    <w:rsid w:val="00841D1A"/>
    <w:rsid w:val="00851DBC"/>
    <w:rsid w:val="0085682B"/>
    <w:rsid w:val="00865FF8"/>
    <w:rsid w:val="0086680D"/>
    <w:rsid w:val="0087087A"/>
    <w:rsid w:val="00880C28"/>
    <w:rsid w:val="00881D1A"/>
    <w:rsid w:val="00882778"/>
    <w:rsid w:val="0088328B"/>
    <w:rsid w:val="008839C6"/>
    <w:rsid w:val="0088448F"/>
    <w:rsid w:val="008861BF"/>
    <w:rsid w:val="0089172F"/>
    <w:rsid w:val="00892E0E"/>
    <w:rsid w:val="00895DAB"/>
    <w:rsid w:val="00897A71"/>
    <w:rsid w:val="008A1CCA"/>
    <w:rsid w:val="008A4C31"/>
    <w:rsid w:val="008A68B7"/>
    <w:rsid w:val="008B18C2"/>
    <w:rsid w:val="008B382E"/>
    <w:rsid w:val="008B498A"/>
    <w:rsid w:val="008C0625"/>
    <w:rsid w:val="008C5681"/>
    <w:rsid w:val="008C5A6B"/>
    <w:rsid w:val="008C7488"/>
    <w:rsid w:val="008D0BEB"/>
    <w:rsid w:val="008D2A7E"/>
    <w:rsid w:val="008D453D"/>
    <w:rsid w:val="008E2A50"/>
    <w:rsid w:val="008E2F2E"/>
    <w:rsid w:val="008E4898"/>
    <w:rsid w:val="008E6765"/>
    <w:rsid w:val="008F018F"/>
    <w:rsid w:val="008F4FD7"/>
    <w:rsid w:val="009005FD"/>
    <w:rsid w:val="00906312"/>
    <w:rsid w:val="00911CB4"/>
    <w:rsid w:val="00917233"/>
    <w:rsid w:val="00922004"/>
    <w:rsid w:val="009246E4"/>
    <w:rsid w:val="009249B7"/>
    <w:rsid w:val="00927446"/>
    <w:rsid w:val="00931AD3"/>
    <w:rsid w:val="00932D16"/>
    <w:rsid w:val="009351C0"/>
    <w:rsid w:val="00935F99"/>
    <w:rsid w:val="00936953"/>
    <w:rsid w:val="00936F10"/>
    <w:rsid w:val="00945764"/>
    <w:rsid w:val="00951ACE"/>
    <w:rsid w:val="00956AEB"/>
    <w:rsid w:val="00956E39"/>
    <w:rsid w:val="00960DC9"/>
    <w:rsid w:val="00962282"/>
    <w:rsid w:val="00973CA1"/>
    <w:rsid w:val="0098191E"/>
    <w:rsid w:val="00983107"/>
    <w:rsid w:val="00983C9D"/>
    <w:rsid w:val="00986C71"/>
    <w:rsid w:val="00987871"/>
    <w:rsid w:val="00992BD2"/>
    <w:rsid w:val="00996A0A"/>
    <w:rsid w:val="009A1912"/>
    <w:rsid w:val="009A3AB9"/>
    <w:rsid w:val="009A67CD"/>
    <w:rsid w:val="009B6868"/>
    <w:rsid w:val="009B75C3"/>
    <w:rsid w:val="009C23DA"/>
    <w:rsid w:val="009C46DA"/>
    <w:rsid w:val="009C4E83"/>
    <w:rsid w:val="009C5FF8"/>
    <w:rsid w:val="009C670B"/>
    <w:rsid w:val="009C7FE5"/>
    <w:rsid w:val="009D422E"/>
    <w:rsid w:val="009E500D"/>
    <w:rsid w:val="009F2533"/>
    <w:rsid w:val="00A07821"/>
    <w:rsid w:val="00A116AB"/>
    <w:rsid w:val="00A146F9"/>
    <w:rsid w:val="00A20E1A"/>
    <w:rsid w:val="00A22E41"/>
    <w:rsid w:val="00A23755"/>
    <w:rsid w:val="00A26347"/>
    <w:rsid w:val="00A3384F"/>
    <w:rsid w:val="00A40545"/>
    <w:rsid w:val="00A40BB2"/>
    <w:rsid w:val="00A41D29"/>
    <w:rsid w:val="00A41DA0"/>
    <w:rsid w:val="00A45DAD"/>
    <w:rsid w:val="00A46228"/>
    <w:rsid w:val="00A47E58"/>
    <w:rsid w:val="00A47E8B"/>
    <w:rsid w:val="00A6066F"/>
    <w:rsid w:val="00A61675"/>
    <w:rsid w:val="00A61823"/>
    <w:rsid w:val="00A62609"/>
    <w:rsid w:val="00A63A92"/>
    <w:rsid w:val="00A64FC4"/>
    <w:rsid w:val="00A77B32"/>
    <w:rsid w:val="00A83032"/>
    <w:rsid w:val="00A85FBF"/>
    <w:rsid w:val="00A874FD"/>
    <w:rsid w:val="00A923ED"/>
    <w:rsid w:val="00A9261F"/>
    <w:rsid w:val="00A93939"/>
    <w:rsid w:val="00A944E1"/>
    <w:rsid w:val="00A946F4"/>
    <w:rsid w:val="00AA3C3C"/>
    <w:rsid w:val="00AB05A9"/>
    <w:rsid w:val="00AB7E20"/>
    <w:rsid w:val="00AC150D"/>
    <w:rsid w:val="00AC1890"/>
    <w:rsid w:val="00AD5D26"/>
    <w:rsid w:val="00AE1855"/>
    <w:rsid w:val="00AE272B"/>
    <w:rsid w:val="00AE727B"/>
    <w:rsid w:val="00AE7602"/>
    <w:rsid w:val="00AF1B51"/>
    <w:rsid w:val="00AF2954"/>
    <w:rsid w:val="00AF5BF5"/>
    <w:rsid w:val="00AF6C63"/>
    <w:rsid w:val="00AF799F"/>
    <w:rsid w:val="00B00B96"/>
    <w:rsid w:val="00B13C05"/>
    <w:rsid w:val="00B25A9F"/>
    <w:rsid w:val="00B274E8"/>
    <w:rsid w:val="00B312B4"/>
    <w:rsid w:val="00B32B02"/>
    <w:rsid w:val="00B337FF"/>
    <w:rsid w:val="00B354D6"/>
    <w:rsid w:val="00B35B82"/>
    <w:rsid w:val="00B365BF"/>
    <w:rsid w:val="00B3686D"/>
    <w:rsid w:val="00B40625"/>
    <w:rsid w:val="00B454AE"/>
    <w:rsid w:val="00B52336"/>
    <w:rsid w:val="00B535E6"/>
    <w:rsid w:val="00B61B34"/>
    <w:rsid w:val="00B61E01"/>
    <w:rsid w:val="00B63F0D"/>
    <w:rsid w:val="00B65B08"/>
    <w:rsid w:val="00B67A30"/>
    <w:rsid w:val="00B723E3"/>
    <w:rsid w:val="00B802D6"/>
    <w:rsid w:val="00B81EE7"/>
    <w:rsid w:val="00B83291"/>
    <w:rsid w:val="00B85DFF"/>
    <w:rsid w:val="00B91DC4"/>
    <w:rsid w:val="00B93BB7"/>
    <w:rsid w:val="00BA4F9B"/>
    <w:rsid w:val="00BB192F"/>
    <w:rsid w:val="00BB3A59"/>
    <w:rsid w:val="00BB68C9"/>
    <w:rsid w:val="00BB7435"/>
    <w:rsid w:val="00BB7884"/>
    <w:rsid w:val="00BB7BD6"/>
    <w:rsid w:val="00BC07D3"/>
    <w:rsid w:val="00BC2132"/>
    <w:rsid w:val="00BC3B46"/>
    <w:rsid w:val="00BE108E"/>
    <w:rsid w:val="00BE535B"/>
    <w:rsid w:val="00BE5AE0"/>
    <w:rsid w:val="00BE7E46"/>
    <w:rsid w:val="00BF2C89"/>
    <w:rsid w:val="00BF5E4E"/>
    <w:rsid w:val="00C13F31"/>
    <w:rsid w:val="00C157EF"/>
    <w:rsid w:val="00C217D0"/>
    <w:rsid w:val="00C226B3"/>
    <w:rsid w:val="00C30557"/>
    <w:rsid w:val="00C31634"/>
    <w:rsid w:val="00C40AF1"/>
    <w:rsid w:val="00C47E63"/>
    <w:rsid w:val="00C54564"/>
    <w:rsid w:val="00C565C5"/>
    <w:rsid w:val="00C60EE1"/>
    <w:rsid w:val="00C63E96"/>
    <w:rsid w:val="00C732BE"/>
    <w:rsid w:val="00C76D65"/>
    <w:rsid w:val="00C80D2A"/>
    <w:rsid w:val="00C84DC8"/>
    <w:rsid w:val="00C851BD"/>
    <w:rsid w:val="00C86C20"/>
    <w:rsid w:val="00C86D91"/>
    <w:rsid w:val="00C91EE2"/>
    <w:rsid w:val="00C96FB7"/>
    <w:rsid w:val="00CA3517"/>
    <w:rsid w:val="00CA7E38"/>
    <w:rsid w:val="00CB1214"/>
    <w:rsid w:val="00CB1F91"/>
    <w:rsid w:val="00CB2A02"/>
    <w:rsid w:val="00CB4BD6"/>
    <w:rsid w:val="00CB5039"/>
    <w:rsid w:val="00CC567C"/>
    <w:rsid w:val="00CD08ED"/>
    <w:rsid w:val="00CD1A09"/>
    <w:rsid w:val="00CD4C20"/>
    <w:rsid w:val="00CD51CC"/>
    <w:rsid w:val="00CD609A"/>
    <w:rsid w:val="00CD62EB"/>
    <w:rsid w:val="00CE1410"/>
    <w:rsid w:val="00CE21B7"/>
    <w:rsid w:val="00CE3B72"/>
    <w:rsid w:val="00CF016A"/>
    <w:rsid w:val="00CF1CD7"/>
    <w:rsid w:val="00CF2D55"/>
    <w:rsid w:val="00CF30A4"/>
    <w:rsid w:val="00CF3817"/>
    <w:rsid w:val="00D00E87"/>
    <w:rsid w:val="00D01046"/>
    <w:rsid w:val="00D064E3"/>
    <w:rsid w:val="00D14F39"/>
    <w:rsid w:val="00D15D11"/>
    <w:rsid w:val="00D16891"/>
    <w:rsid w:val="00D2347C"/>
    <w:rsid w:val="00D24201"/>
    <w:rsid w:val="00D25B2F"/>
    <w:rsid w:val="00D27D27"/>
    <w:rsid w:val="00D30883"/>
    <w:rsid w:val="00D314D1"/>
    <w:rsid w:val="00D36E5B"/>
    <w:rsid w:val="00D457A9"/>
    <w:rsid w:val="00D46A85"/>
    <w:rsid w:val="00D504D6"/>
    <w:rsid w:val="00D528BD"/>
    <w:rsid w:val="00D5649E"/>
    <w:rsid w:val="00D56A01"/>
    <w:rsid w:val="00D60B78"/>
    <w:rsid w:val="00D613B9"/>
    <w:rsid w:val="00D628E1"/>
    <w:rsid w:val="00D62901"/>
    <w:rsid w:val="00D647C8"/>
    <w:rsid w:val="00D6733D"/>
    <w:rsid w:val="00D77393"/>
    <w:rsid w:val="00D80447"/>
    <w:rsid w:val="00D8073F"/>
    <w:rsid w:val="00D8188F"/>
    <w:rsid w:val="00D82665"/>
    <w:rsid w:val="00D83B5D"/>
    <w:rsid w:val="00D85BF6"/>
    <w:rsid w:val="00D943A6"/>
    <w:rsid w:val="00D96953"/>
    <w:rsid w:val="00DA11DF"/>
    <w:rsid w:val="00DA2257"/>
    <w:rsid w:val="00DA34B6"/>
    <w:rsid w:val="00DA522B"/>
    <w:rsid w:val="00DB2F98"/>
    <w:rsid w:val="00DB3289"/>
    <w:rsid w:val="00DB4278"/>
    <w:rsid w:val="00DC170F"/>
    <w:rsid w:val="00DC17AF"/>
    <w:rsid w:val="00DC19D7"/>
    <w:rsid w:val="00DC2AD0"/>
    <w:rsid w:val="00DC485D"/>
    <w:rsid w:val="00DC5B96"/>
    <w:rsid w:val="00DD1B63"/>
    <w:rsid w:val="00DD31DF"/>
    <w:rsid w:val="00DD5394"/>
    <w:rsid w:val="00DD5FDA"/>
    <w:rsid w:val="00DE0BB5"/>
    <w:rsid w:val="00DE4841"/>
    <w:rsid w:val="00DE65D3"/>
    <w:rsid w:val="00DF340E"/>
    <w:rsid w:val="00DF5893"/>
    <w:rsid w:val="00DF5AED"/>
    <w:rsid w:val="00E0226B"/>
    <w:rsid w:val="00E03887"/>
    <w:rsid w:val="00E0508A"/>
    <w:rsid w:val="00E05304"/>
    <w:rsid w:val="00E1153E"/>
    <w:rsid w:val="00E117E9"/>
    <w:rsid w:val="00E11944"/>
    <w:rsid w:val="00E11D0B"/>
    <w:rsid w:val="00E13D10"/>
    <w:rsid w:val="00E16667"/>
    <w:rsid w:val="00E26A51"/>
    <w:rsid w:val="00E35BEF"/>
    <w:rsid w:val="00E362CD"/>
    <w:rsid w:val="00E4038E"/>
    <w:rsid w:val="00E513B3"/>
    <w:rsid w:val="00E53558"/>
    <w:rsid w:val="00E54305"/>
    <w:rsid w:val="00E565BA"/>
    <w:rsid w:val="00E56D6F"/>
    <w:rsid w:val="00E63BF7"/>
    <w:rsid w:val="00E67580"/>
    <w:rsid w:val="00E71C74"/>
    <w:rsid w:val="00E77670"/>
    <w:rsid w:val="00E81482"/>
    <w:rsid w:val="00E827B1"/>
    <w:rsid w:val="00E8484C"/>
    <w:rsid w:val="00E87B70"/>
    <w:rsid w:val="00E93856"/>
    <w:rsid w:val="00E95653"/>
    <w:rsid w:val="00E971DB"/>
    <w:rsid w:val="00EA2CA8"/>
    <w:rsid w:val="00EA34C4"/>
    <w:rsid w:val="00EA37C0"/>
    <w:rsid w:val="00EA4CA2"/>
    <w:rsid w:val="00EA58E1"/>
    <w:rsid w:val="00EB4F73"/>
    <w:rsid w:val="00EB7EEB"/>
    <w:rsid w:val="00EC1577"/>
    <w:rsid w:val="00EC205D"/>
    <w:rsid w:val="00EC4455"/>
    <w:rsid w:val="00ED092A"/>
    <w:rsid w:val="00ED2512"/>
    <w:rsid w:val="00EE51F2"/>
    <w:rsid w:val="00EE537D"/>
    <w:rsid w:val="00EE6313"/>
    <w:rsid w:val="00EF64DF"/>
    <w:rsid w:val="00F04423"/>
    <w:rsid w:val="00F04BB2"/>
    <w:rsid w:val="00F05B92"/>
    <w:rsid w:val="00F0651A"/>
    <w:rsid w:val="00F125FF"/>
    <w:rsid w:val="00F14949"/>
    <w:rsid w:val="00F17DF7"/>
    <w:rsid w:val="00F24177"/>
    <w:rsid w:val="00F26856"/>
    <w:rsid w:val="00F3152B"/>
    <w:rsid w:val="00F316FB"/>
    <w:rsid w:val="00F327CF"/>
    <w:rsid w:val="00F32A76"/>
    <w:rsid w:val="00F34F05"/>
    <w:rsid w:val="00F40140"/>
    <w:rsid w:val="00F42A46"/>
    <w:rsid w:val="00F47F5F"/>
    <w:rsid w:val="00F60365"/>
    <w:rsid w:val="00F60A8B"/>
    <w:rsid w:val="00F611D2"/>
    <w:rsid w:val="00F72F96"/>
    <w:rsid w:val="00F74876"/>
    <w:rsid w:val="00F7541E"/>
    <w:rsid w:val="00F75732"/>
    <w:rsid w:val="00F853E4"/>
    <w:rsid w:val="00F8646E"/>
    <w:rsid w:val="00F86BFD"/>
    <w:rsid w:val="00F91EAF"/>
    <w:rsid w:val="00F938CC"/>
    <w:rsid w:val="00F958DD"/>
    <w:rsid w:val="00FA2C3B"/>
    <w:rsid w:val="00FA5F18"/>
    <w:rsid w:val="00FA6052"/>
    <w:rsid w:val="00FB010B"/>
    <w:rsid w:val="00FB0D08"/>
    <w:rsid w:val="00FB55D1"/>
    <w:rsid w:val="00FB5C0B"/>
    <w:rsid w:val="00FC018A"/>
    <w:rsid w:val="00FC31D4"/>
    <w:rsid w:val="00FC54E8"/>
    <w:rsid w:val="00FC7FD3"/>
    <w:rsid w:val="00FD0612"/>
    <w:rsid w:val="00FD2497"/>
    <w:rsid w:val="00FD4E26"/>
    <w:rsid w:val="00FE6404"/>
    <w:rsid w:val="00FF06EE"/>
    <w:rsid w:val="00FF18A9"/>
    <w:rsid w:val="00FF4159"/>
    <w:rsid w:val="00FF4E43"/>
    <w:rsid w:val="00FF53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Самый обычный"/>
    <w:qFormat/>
    <w:rsid w:val="00FF4E43"/>
    <w:pPr>
      <w:ind w:firstLine="709"/>
      <w:jc w:val="both"/>
    </w:pPr>
    <w:rPr>
      <w:rFonts w:ascii="Times New Roman" w:eastAsia="Times New Roman" w:hAnsi="Times New Roman"/>
      <w:sz w:val="28"/>
      <w:szCs w:val="22"/>
    </w:rPr>
  </w:style>
  <w:style w:type="paragraph" w:styleId="1">
    <w:name w:val="heading 1"/>
    <w:aliases w:val="Заголовок 111111"/>
    <w:basedOn w:val="a"/>
    <w:next w:val="a"/>
    <w:link w:val="10"/>
    <w:autoRedefine/>
    <w:uiPriority w:val="9"/>
    <w:qFormat/>
    <w:rsid w:val="00B93BB7"/>
    <w:pPr>
      <w:keepNext/>
      <w:keepLines/>
      <w:ind w:firstLine="0"/>
      <w:jc w:val="center"/>
      <w:outlineLvl w:val="0"/>
    </w:pPr>
    <w:rPr>
      <w:b/>
      <w:bCs/>
      <w:szCs w:val="28"/>
    </w:rPr>
  </w:style>
  <w:style w:type="paragraph" w:styleId="3">
    <w:name w:val="heading 3"/>
    <w:basedOn w:val="a"/>
    <w:next w:val="a"/>
    <w:link w:val="30"/>
    <w:uiPriority w:val="9"/>
    <w:semiHidden/>
    <w:unhideWhenUsed/>
    <w:qFormat/>
    <w:rsid w:val="00FF4E43"/>
    <w:pPr>
      <w:keepNext/>
      <w:keepLines/>
      <w:spacing w:before="200"/>
      <w:outlineLvl w:val="2"/>
    </w:pPr>
    <w:rPr>
      <w:rFonts w:ascii="Cambria" w:hAnsi="Cambria"/>
      <w:b/>
      <w:bCs/>
      <w:color w:val="4F81BD"/>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3">
    <w:name w:val="Основной текст (33)_"/>
    <w:link w:val="330"/>
    <w:rsid w:val="009C670B"/>
    <w:rPr>
      <w:b/>
      <w:bCs/>
      <w:sz w:val="26"/>
      <w:szCs w:val="26"/>
      <w:shd w:val="clear" w:color="auto" w:fill="FFFFFF"/>
    </w:rPr>
  </w:style>
  <w:style w:type="paragraph" w:customStyle="1" w:styleId="330">
    <w:name w:val="Основной текст (33)"/>
    <w:basedOn w:val="a"/>
    <w:link w:val="33"/>
    <w:rsid w:val="009C670B"/>
    <w:pPr>
      <w:shd w:val="clear" w:color="auto" w:fill="FFFFFF"/>
      <w:spacing w:before="240" w:after="240" w:line="336" w:lineRule="exact"/>
    </w:pPr>
    <w:rPr>
      <w:rFonts w:ascii="Calibri" w:eastAsia="Calibri" w:hAnsi="Calibri"/>
      <w:b/>
      <w:bCs/>
      <w:sz w:val="26"/>
      <w:szCs w:val="26"/>
    </w:rPr>
  </w:style>
  <w:style w:type="paragraph" w:styleId="a3">
    <w:name w:val="Balloon Text"/>
    <w:basedOn w:val="a"/>
    <w:link w:val="a4"/>
    <w:uiPriority w:val="99"/>
    <w:semiHidden/>
    <w:unhideWhenUsed/>
    <w:rsid w:val="009C670B"/>
    <w:rPr>
      <w:rFonts w:ascii="Tahoma" w:hAnsi="Tahoma"/>
      <w:sz w:val="16"/>
      <w:szCs w:val="16"/>
    </w:rPr>
  </w:style>
  <w:style w:type="character" w:customStyle="1" w:styleId="a4">
    <w:name w:val="Текст выноски Знак"/>
    <w:link w:val="a3"/>
    <w:uiPriority w:val="99"/>
    <w:semiHidden/>
    <w:rsid w:val="009C670B"/>
    <w:rPr>
      <w:rFonts w:ascii="Tahoma" w:eastAsia="Times New Roman" w:hAnsi="Tahoma" w:cs="Tahoma"/>
      <w:sz w:val="16"/>
      <w:szCs w:val="16"/>
      <w:lang w:eastAsia="ru-RU"/>
    </w:rPr>
  </w:style>
  <w:style w:type="paragraph" w:styleId="a5">
    <w:name w:val="List Paragraph"/>
    <w:basedOn w:val="a"/>
    <w:link w:val="a6"/>
    <w:uiPriority w:val="99"/>
    <w:qFormat/>
    <w:rsid w:val="009C670B"/>
    <w:pPr>
      <w:ind w:left="720"/>
      <w:contextualSpacing/>
    </w:pPr>
    <w:rPr>
      <w:rFonts w:ascii="Calibri" w:eastAsia="Calibri" w:hAnsi="Calibri"/>
      <w:sz w:val="20"/>
      <w:szCs w:val="20"/>
    </w:rPr>
  </w:style>
  <w:style w:type="paragraph" w:styleId="a7">
    <w:name w:val="footnote text"/>
    <w:basedOn w:val="a"/>
    <w:link w:val="a8"/>
    <w:uiPriority w:val="99"/>
    <w:semiHidden/>
    <w:unhideWhenUsed/>
    <w:rsid w:val="009C670B"/>
    <w:rPr>
      <w:rFonts w:ascii="Calibri" w:eastAsia="Calibri" w:hAnsi="Calibri"/>
      <w:sz w:val="20"/>
      <w:szCs w:val="20"/>
    </w:rPr>
  </w:style>
  <w:style w:type="character" w:customStyle="1" w:styleId="a8">
    <w:name w:val="Текст сноски Знак"/>
    <w:link w:val="a7"/>
    <w:uiPriority w:val="99"/>
    <w:semiHidden/>
    <w:rsid w:val="009C670B"/>
    <w:rPr>
      <w:rFonts w:ascii="Calibri" w:eastAsia="Calibri" w:hAnsi="Calibri" w:cs="Times New Roman"/>
      <w:sz w:val="20"/>
      <w:szCs w:val="20"/>
    </w:rPr>
  </w:style>
  <w:style w:type="character" w:styleId="a9">
    <w:name w:val="footnote reference"/>
    <w:uiPriority w:val="99"/>
    <w:semiHidden/>
    <w:unhideWhenUsed/>
    <w:rsid w:val="009C670B"/>
    <w:rPr>
      <w:vertAlign w:val="superscript"/>
    </w:rPr>
  </w:style>
  <w:style w:type="paragraph" w:customStyle="1" w:styleId="ConsPlusCell">
    <w:name w:val="ConsPlusCell"/>
    <w:uiPriority w:val="99"/>
    <w:rsid w:val="00897A71"/>
    <w:pPr>
      <w:autoSpaceDE w:val="0"/>
      <w:autoSpaceDN w:val="0"/>
      <w:adjustRightInd w:val="0"/>
    </w:pPr>
    <w:rPr>
      <w:rFonts w:ascii="Times New Roman" w:hAnsi="Times New Roman"/>
      <w:sz w:val="28"/>
      <w:szCs w:val="28"/>
    </w:rPr>
  </w:style>
  <w:style w:type="character" w:customStyle="1" w:styleId="FontStyle14">
    <w:name w:val="Font Style14"/>
    <w:uiPriority w:val="99"/>
    <w:rsid w:val="00897A71"/>
    <w:rPr>
      <w:rFonts w:ascii="Times New Roman" w:hAnsi="Times New Roman" w:cs="Times New Roman" w:hint="default"/>
      <w:sz w:val="24"/>
      <w:szCs w:val="24"/>
    </w:rPr>
  </w:style>
  <w:style w:type="character" w:customStyle="1" w:styleId="10">
    <w:name w:val="Заголовок 1 Знак"/>
    <w:aliases w:val="Заголовок 111111 Знак"/>
    <w:link w:val="1"/>
    <w:uiPriority w:val="9"/>
    <w:rsid w:val="00B93BB7"/>
    <w:rPr>
      <w:rFonts w:ascii="Times New Roman" w:eastAsia="Times New Roman" w:hAnsi="Times New Roman" w:cs="Times New Roman"/>
      <w:b/>
      <w:bCs/>
      <w:sz w:val="28"/>
      <w:szCs w:val="28"/>
      <w:lang w:eastAsia="ru-RU"/>
    </w:rPr>
  </w:style>
  <w:style w:type="paragraph" w:styleId="aa">
    <w:name w:val="Normal (Web)"/>
    <w:aliases w:val="Обычный (веб) Знак,Обычный (веб) Знак1 Знак,Обычный (веб) Знак Знак Знак,Обычный (веб) Знак1 Знак Знак,Обычный (веб) Знак Знак Знак Знак,Обычный (веб) Знак1,Обычный (веб) Знак Знак,Обычный (веб) Знак Знак Char Знак,Обычный (Web)1"/>
    <w:basedOn w:val="a"/>
    <w:link w:val="2"/>
    <w:uiPriority w:val="99"/>
    <w:rsid w:val="00FF4E43"/>
    <w:pPr>
      <w:spacing w:before="100" w:beforeAutospacing="1" w:after="100" w:afterAutospacing="1"/>
    </w:pPr>
    <w:rPr>
      <w:sz w:val="24"/>
      <w:szCs w:val="24"/>
    </w:rPr>
  </w:style>
  <w:style w:type="character" w:styleId="ab">
    <w:name w:val="Strong"/>
    <w:qFormat/>
    <w:rsid w:val="00FF4E43"/>
    <w:rPr>
      <w:b/>
      <w:bCs/>
    </w:rPr>
  </w:style>
  <w:style w:type="character" w:customStyle="1" w:styleId="c1">
    <w:name w:val="c1"/>
    <w:uiPriority w:val="99"/>
    <w:rsid w:val="00FF4E43"/>
    <w:rPr>
      <w:rFonts w:cs="Times New Roman"/>
    </w:rPr>
  </w:style>
  <w:style w:type="character" w:customStyle="1" w:styleId="default005f005fchar1char1">
    <w:name w:val="default_005f_005fchar1__char1"/>
    <w:rsid w:val="00FF4E43"/>
    <w:rPr>
      <w:rFonts w:ascii="Times New Roman" w:hAnsi="Times New Roman" w:cs="Times New Roman" w:hint="default"/>
      <w:strike w:val="0"/>
      <w:dstrike w:val="0"/>
      <w:sz w:val="24"/>
      <w:szCs w:val="24"/>
      <w:u w:val="none"/>
      <w:effect w:val="none"/>
    </w:rPr>
  </w:style>
  <w:style w:type="paragraph" w:customStyle="1" w:styleId="western">
    <w:name w:val="western"/>
    <w:basedOn w:val="a"/>
    <w:rsid w:val="00FF4E43"/>
    <w:pPr>
      <w:spacing w:before="100" w:beforeAutospacing="1" w:after="100" w:afterAutospacing="1"/>
    </w:pPr>
    <w:rPr>
      <w:sz w:val="24"/>
      <w:szCs w:val="24"/>
    </w:rPr>
  </w:style>
  <w:style w:type="character" w:customStyle="1" w:styleId="text">
    <w:name w:val="text"/>
    <w:rsid w:val="00FF4E43"/>
  </w:style>
  <w:style w:type="character" w:customStyle="1" w:styleId="2">
    <w:name w:val="Обычный (веб) Знак2"/>
    <w:aliases w:val="Обычный (веб) Знак Знак1,Обычный (веб) Знак1 Знак Знак1,Обычный (веб) Знак Знак Знак Знак1,Обычный (веб) Знак1 Знак Знак Знак,Обычный (веб) Знак Знак Знак Знак Знак,Обычный (веб) Знак1 Знак1,Обычный (веб) Знак Знак Знак1"/>
    <w:link w:val="aa"/>
    <w:uiPriority w:val="99"/>
    <w:locked/>
    <w:rsid w:val="00FF4E43"/>
    <w:rPr>
      <w:rFonts w:ascii="Times New Roman" w:eastAsia="Times New Roman" w:hAnsi="Times New Roman" w:cs="Times New Roman"/>
      <w:sz w:val="24"/>
      <w:szCs w:val="24"/>
    </w:rPr>
  </w:style>
  <w:style w:type="paragraph" w:customStyle="1" w:styleId="Default">
    <w:name w:val="Default"/>
    <w:rsid w:val="00FF4E43"/>
    <w:pPr>
      <w:autoSpaceDE w:val="0"/>
      <w:autoSpaceDN w:val="0"/>
      <w:adjustRightInd w:val="0"/>
    </w:pPr>
    <w:rPr>
      <w:rFonts w:ascii="Times New Roman" w:hAnsi="Times New Roman"/>
      <w:color w:val="000000"/>
      <w:sz w:val="24"/>
      <w:szCs w:val="24"/>
    </w:rPr>
  </w:style>
  <w:style w:type="character" w:customStyle="1" w:styleId="30">
    <w:name w:val="Заголовок 3 Знак"/>
    <w:link w:val="3"/>
    <w:uiPriority w:val="9"/>
    <w:semiHidden/>
    <w:rsid w:val="00FF4E43"/>
    <w:rPr>
      <w:rFonts w:ascii="Cambria" w:eastAsia="Times New Roman" w:hAnsi="Cambria" w:cs="Times New Roman"/>
      <w:b/>
      <w:bCs/>
      <w:color w:val="4F81BD"/>
      <w:lang w:eastAsia="ru-RU"/>
    </w:rPr>
  </w:style>
  <w:style w:type="paragraph" w:styleId="ac">
    <w:name w:val="Body Text"/>
    <w:basedOn w:val="a"/>
    <w:link w:val="ad"/>
    <w:uiPriority w:val="99"/>
    <w:unhideWhenUsed/>
    <w:rsid w:val="00FF4E43"/>
    <w:pPr>
      <w:spacing w:after="120"/>
    </w:pPr>
    <w:rPr>
      <w:sz w:val="24"/>
      <w:szCs w:val="24"/>
    </w:rPr>
  </w:style>
  <w:style w:type="character" w:customStyle="1" w:styleId="ad">
    <w:name w:val="Основной текст Знак"/>
    <w:link w:val="ac"/>
    <w:uiPriority w:val="99"/>
    <w:rsid w:val="00FF4E43"/>
    <w:rPr>
      <w:rFonts w:ascii="Times New Roman" w:eastAsia="Times New Roman" w:hAnsi="Times New Roman" w:cs="Times New Roman"/>
      <w:sz w:val="24"/>
      <w:szCs w:val="24"/>
      <w:lang w:eastAsia="ru-RU"/>
    </w:rPr>
  </w:style>
  <w:style w:type="paragraph" w:styleId="ae">
    <w:name w:val="annotation text"/>
    <w:basedOn w:val="a"/>
    <w:link w:val="af"/>
    <w:uiPriority w:val="99"/>
    <w:unhideWhenUsed/>
    <w:rsid w:val="00FF4E43"/>
    <w:rPr>
      <w:sz w:val="20"/>
      <w:szCs w:val="20"/>
    </w:rPr>
  </w:style>
  <w:style w:type="character" w:customStyle="1" w:styleId="af">
    <w:name w:val="Текст примечания Знак"/>
    <w:link w:val="ae"/>
    <w:uiPriority w:val="99"/>
    <w:rsid w:val="00FF4E43"/>
    <w:rPr>
      <w:rFonts w:ascii="Times New Roman" w:eastAsia="Times New Roman" w:hAnsi="Times New Roman" w:cs="Times New Roman"/>
      <w:sz w:val="20"/>
      <w:szCs w:val="20"/>
      <w:lang w:eastAsia="ru-RU"/>
    </w:rPr>
  </w:style>
  <w:style w:type="character" w:customStyle="1" w:styleId="a6">
    <w:name w:val="Абзац списка Знак"/>
    <w:link w:val="a5"/>
    <w:uiPriority w:val="99"/>
    <w:rsid w:val="00FF4E43"/>
    <w:rPr>
      <w:rFonts w:ascii="Calibri" w:eastAsia="Calibri" w:hAnsi="Calibri" w:cs="Times New Roman"/>
    </w:rPr>
  </w:style>
  <w:style w:type="paragraph" w:customStyle="1" w:styleId="Textbody">
    <w:name w:val="Text body"/>
    <w:basedOn w:val="a"/>
    <w:rsid w:val="00FF4E43"/>
    <w:pPr>
      <w:widowControl w:val="0"/>
      <w:tabs>
        <w:tab w:val="left" w:pos="708"/>
      </w:tabs>
      <w:suppressAutoHyphens/>
      <w:autoSpaceDN w:val="0"/>
      <w:spacing w:after="120" w:line="100" w:lineRule="atLeast"/>
      <w:ind w:firstLine="0"/>
      <w:jc w:val="left"/>
      <w:textAlignment w:val="baseline"/>
    </w:pPr>
    <w:rPr>
      <w:rFonts w:eastAsia="SimSun" w:cs="Mangal"/>
      <w:color w:val="00000A"/>
      <w:kern w:val="3"/>
      <w:sz w:val="24"/>
      <w:szCs w:val="24"/>
      <w:lang w:eastAsia="zh-CN" w:bidi="hi-IN"/>
    </w:rPr>
  </w:style>
  <w:style w:type="paragraph" w:customStyle="1" w:styleId="ConsPlusNonformat">
    <w:name w:val="ConsPlusNonformat"/>
    <w:uiPriority w:val="99"/>
    <w:rsid w:val="00B93BB7"/>
    <w:pPr>
      <w:autoSpaceDE w:val="0"/>
      <w:autoSpaceDN w:val="0"/>
      <w:adjustRightInd w:val="0"/>
    </w:pPr>
    <w:rPr>
      <w:rFonts w:ascii="Courier New" w:hAnsi="Courier New" w:cs="Courier New"/>
      <w:lang w:eastAsia="en-US"/>
    </w:rPr>
  </w:style>
  <w:style w:type="paragraph" w:customStyle="1" w:styleId="ConsPlusNormal">
    <w:name w:val="ConsPlusNormal"/>
    <w:link w:val="ConsPlusNormal0"/>
    <w:rsid w:val="00B93BB7"/>
    <w:pPr>
      <w:widowControl w:val="0"/>
      <w:autoSpaceDE w:val="0"/>
      <w:autoSpaceDN w:val="0"/>
      <w:adjustRightInd w:val="0"/>
      <w:ind w:firstLine="720"/>
    </w:pPr>
    <w:rPr>
      <w:rFonts w:ascii="Arial" w:eastAsia="Times New Roman" w:hAnsi="Arial" w:cs="Arial"/>
    </w:rPr>
  </w:style>
  <w:style w:type="paragraph" w:styleId="af0">
    <w:name w:val="No Spacing"/>
    <w:link w:val="af1"/>
    <w:uiPriority w:val="1"/>
    <w:qFormat/>
    <w:rsid w:val="00CB5039"/>
    <w:rPr>
      <w:rFonts w:ascii="Times New Roman" w:hAnsi="Times New Roman"/>
      <w:sz w:val="24"/>
      <w:szCs w:val="16"/>
    </w:rPr>
  </w:style>
  <w:style w:type="character" w:customStyle="1" w:styleId="af1">
    <w:name w:val="Без интервала Знак"/>
    <w:link w:val="af0"/>
    <w:uiPriority w:val="1"/>
    <w:rsid w:val="00CB5039"/>
    <w:rPr>
      <w:rFonts w:ascii="Times New Roman" w:hAnsi="Times New Roman"/>
      <w:sz w:val="24"/>
      <w:szCs w:val="16"/>
      <w:lang w:bidi="ar-SA"/>
    </w:rPr>
  </w:style>
  <w:style w:type="paragraph" w:styleId="af2">
    <w:name w:val="Body Text Indent"/>
    <w:basedOn w:val="a"/>
    <w:link w:val="af3"/>
    <w:uiPriority w:val="99"/>
    <w:semiHidden/>
    <w:unhideWhenUsed/>
    <w:rsid w:val="004F1ACD"/>
    <w:pPr>
      <w:spacing w:after="120"/>
      <w:ind w:left="283"/>
    </w:pPr>
    <w:rPr>
      <w:szCs w:val="20"/>
    </w:rPr>
  </w:style>
  <w:style w:type="character" w:customStyle="1" w:styleId="af3">
    <w:name w:val="Основной текст с отступом Знак"/>
    <w:link w:val="af2"/>
    <w:uiPriority w:val="99"/>
    <w:semiHidden/>
    <w:rsid w:val="004F1ACD"/>
    <w:rPr>
      <w:rFonts w:ascii="Times New Roman" w:eastAsia="Times New Roman" w:hAnsi="Times New Roman"/>
      <w:sz w:val="28"/>
      <w:lang w:eastAsia="ru-RU"/>
    </w:rPr>
  </w:style>
  <w:style w:type="character" w:customStyle="1" w:styleId="ConsPlusNormal0">
    <w:name w:val="ConsPlusNormal Знак"/>
    <w:link w:val="ConsPlusNormal"/>
    <w:rsid w:val="004F1ACD"/>
    <w:rPr>
      <w:rFonts w:ascii="Arial" w:eastAsia="Times New Roman" w:hAnsi="Arial" w:cs="Arial"/>
      <w:lang w:eastAsia="ru-RU" w:bidi="ar-SA"/>
    </w:rPr>
  </w:style>
  <w:style w:type="paragraph" w:customStyle="1" w:styleId="ConsNonformat">
    <w:name w:val="ConsNonformat"/>
    <w:rsid w:val="00DA522B"/>
    <w:pPr>
      <w:widowControl w:val="0"/>
      <w:autoSpaceDE w:val="0"/>
      <w:autoSpaceDN w:val="0"/>
      <w:adjustRightInd w:val="0"/>
      <w:ind w:right="19772"/>
    </w:pPr>
    <w:rPr>
      <w:rFonts w:ascii="Courier New" w:eastAsia="Times New Roman" w:hAnsi="Courier New" w:cs="Courier New"/>
      <w:sz w:val="16"/>
      <w:szCs w:val="16"/>
    </w:rPr>
  </w:style>
  <w:style w:type="character" w:customStyle="1" w:styleId="FontStyle21">
    <w:name w:val="Font Style21"/>
    <w:uiPriority w:val="99"/>
    <w:rsid w:val="00DA522B"/>
    <w:rPr>
      <w:rFonts w:ascii="Times New Roman" w:hAnsi="Times New Roman" w:cs="Times New Roman"/>
      <w:sz w:val="26"/>
      <w:szCs w:val="26"/>
    </w:rPr>
  </w:style>
  <w:style w:type="paragraph" w:styleId="31">
    <w:name w:val="Body Text Indent 3"/>
    <w:basedOn w:val="a"/>
    <w:link w:val="32"/>
    <w:uiPriority w:val="99"/>
    <w:semiHidden/>
    <w:unhideWhenUsed/>
    <w:rsid w:val="0083380D"/>
    <w:pPr>
      <w:spacing w:after="120"/>
      <w:ind w:left="283"/>
    </w:pPr>
    <w:rPr>
      <w:sz w:val="16"/>
      <w:szCs w:val="16"/>
    </w:rPr>
  </w:style>
  <w:style w:type="character" w:customStyle="1" w:styleId="32">
    <w:name w:val="Основной текст с отступом 3 Знак"/>
    <w:link w:val="31"/>
    <w:uiPriority w:val="99"/>
    <w:semiHidden/>
    <w:rsid w:val="0083380D"/>
    <w:rPr>
      <w:rFonts w:ascii="Times New Roman" w:eastAsia="Times New Roman" w:hAnsi="Times New Roman"/>
      <w:sz w:val="16"/>
      <w:szCs w:val="16"/>
      <w:lang w:eastAsia="ru-RU"/>
    </w:rPr>
  </w:style>
  <w:style w:type="table" w:styleId="af4">
    <w:name w:val="Table Grid"/>
    <w:basedOn w:val="a1"/>
    <w:uiPriority w:val="59"/>
    <w:rsid w:val="008338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header"/>
    <w:basedOn w:val="a"/>
    <w:link w:val="af6"/>
    <w:uiPriority w:val="99"/>
    <w:unhideWhenUsed/>
    <w:rsid w:val="00CD51CC"/>
    <w:pPr>
      <w:tabs>
        <w:tab w:val="center" w:pos="4677"/>
        <w:tab w:val="right" w:pos="9355"/>
      </w:tabs>
    </w:pPr>
    <w:rPr>
      <w:szCs w:val="20"/>
    </w:rPr>
  </w:style>
  <w:style w:type="character" w:customStyle="1" w:styleId="af6">
    <w:name w:val="Верхний колонтитул Знак"/>
    <w:link w:val="af5"/>
    <w:uiPriority w:val="99"/>
    <w:rsid w:val="00CD51CC"/>
    <w:rPr>
      <w:rFonts w:ascii="Times New Roman" w:eastAsia="Times New Roman" w:hAnsi="Times New Roman"/>
      <w:sz w:val="28"/>
      <w:lang w:eastAsia="ru-RU"/>
    </w:rPr>
  </w:style>
  <w:style w:type="paragraph" w:styleId="af7">
    <w:name w:val="footer"/>
    <w:basedOn w:val="a"/>
    <w:link w:val="af8"/>
    <w:uiPriority w:val="99"/>
    <w:unhideWhenUsed/>
    <w:rsid w:val="00CD51CC"/>
    <w:pPr>
      <w:tabs>
        <w:tab w:val="center" w:pos="4677"/>
        <w:tab w:val="right" w:pos="9355"/>
      </w:tabs>
    </w:pPr>
    <w:rPr>
      <w:szCs w:val="20"/>
    </w:rPr>
  </w:style>
  <w:style w:type="character" w:customStyle="1" w:styleId="af8">
    <w:name w:val="Нижний колонтитул Знак"/>
    <w:link w:val="af7"/>
    <w:uiPriority w:val="99"/>
    <w:rsid w:val="00CD51CC"/>
    <w:rPr>
      <w:rFonts w:ascii="Times New Roman" w:eastAsia="Times New Roman" w:hAnsi="Times New Roman"/>
      <w:sz w:val="28"/>
      <w:lang w:eastAsia="ru-RU"/>
    </w:rPr>
  </w:style>
  <w:style w:type="paragraph" w:customStyle="1" w:styleId="ListParagraph1">
    <w:name w:val="List Paragraph1"/>
    <w:basedOn w:val="a"/>
    <w:rsid w:val="00DC485D"/>
    <w:pPr>
      <w:ind w:left="720"/>
    </w:pPr>
    <w:rPr>
      <w:rFonts w:eastAsia="Calibri"/>
      <w:lang w:eastAsia="en-US"/>
    </w:rPr>
  </w:style>
  <w:style w:type="character" w:styleId="af9">
    <w:name w:val="Hyperlink"/>
    <w:uiPriority w:val="99"/>
    <w:semiHidden/>
    <w:unhideWhenUsed/>
    <w:rsid w:val="0088448F"/>
    <w:rPr>
      <w:color w:val="0000FF"/>
      <w:u w:val="single"/>
    </w:rPr>
  </w:style>
  <w:style w:type="character" w:customStyle="1" w:styleId="apple-converted-space">
    <w:name w:val="apple-converted-space"/>
    <w:rsid w:val="00FC018A"/>
  </w:style>
  <w:style w:type="paragraph" w:styleId="afa">
    <w:name w:val="Plain Text"/>
    <w:basedOn w:val="a"/>
    <w:link w:val="afb"/>
    <w:rsid w:val="007F64F7"/>
    <w:pPr>
      <w:ind w:firstLine="0"/>
      <w:jc w:val="left"/>
    </w:pPr>
    <w:rPr>
      <w:rFonts w:ascii="Courier New" w:hAnsi="Courier New"/>
      <w:sz w:val="20"/>
      <w:szCs w:val="20"/>
    </w:rPr>
  </w:style>
  <w:style w:type="character" w:customStyle="1" w:styleId="afb">
    <w:name w:val="Текст Знак"/>
    <w:link w:val="afa"/>
    <w:rsid w:val="007F64F7"/>
    <w:rPr>
      <w:rFonts w:ascii="Courier New" w:eastAsia="Times New Roman" w:hAnsi="Courier New"/>
    </w:rPr>
  </w:style>
  <w:style w:type="character" w:styleId="afc">
    <w:name w:val="annotation reference"/>
    <w:uiPriority w:val="99"/>
    <w:semiHidden/>
    <w:unhideWhenUsed/>
    <w:rsid w:val="00E565BA"/>
    <w:rPr>
      <w:sz w:val="16"/>
      <w:szCs w:val="16"/>
    </w:rPr>
  </w:style>
  <w:style w:type="paragraph" w:styleId="afd">
    <w:name w:val="annotation subject"/>
    <w:basedOn w:val="ae"/>
    <w:next w:val="ae"/>
    <w:link w:val="afe"/>
    <w:uiPriority w:val="99"/>
    <w:semiHidden/>
    <w:unhideWhenUsed/>
    <w:rsid w:val="00E565BA"/>
    <w:rPr>
      <w:b/>
      <w:bCs/>
    </w:rPr>
  </w:style>
  <w:style w:type="character" w:customStyle="1" w:styleId="afe">
    <w:name w:val="Тема примечания Знак"/>
    <w:link w:val="afd"/>
    <w:uiPriority w:val="99"/>
    <w:semiHidden/>
    <w:rsid w:val="00E565BA"/>
    <w:rPr>
      <w:rFonts w:ascii="Times New Roman" w:eastAsia="Times New Roman" w:hAnsi="Times New Roman" w:cs="Times New Roman"/>
      <w:b/>
      <w:bCs/>
      <w:sz w:val="20"/>
      <w:szCs w:val="20"/>
      <w:lang w:eastAsia="ru-RU"/>
    </w:rPr>
  </w:style>
</w:styles>
</file>

<file path=word/webSettings.xml><?xml version="1.0" encoding="utf-8"?>
<w:webSettings xmlns:r="http://schemas.openxmlformats.org/officeDocument/2006/relationships" xmlns:w="http://schemas.openxmlformats.org/wordprocessingml/2006/main">
  <w:divs>
    <w:div w:id="67382294">
      <w:bodyDiv w:val="1"/>
      <w:marLeft w:val="0"/>
      <w:marRight w:val="0"/>
      <w:marTop w:val="0"/>
      <w:marBottom w:val="0"/>
      <w:divBdr>
        <w:top w:val="none" w:sz="0" w:space="0" w:color="auto"/>
        <w:left w:val="none" w:sz="0" w:space="0" w:color="auto"/>
        <w:bottom w:val="none" w:sz="0" w:space="0" w:color="auto"/>
        <w:right w:val="none" w:sz="0" w:space="0" w:color="auto"/>
      </w:divBdr>
    </w:div>
    <w:div w:id="73405407">
      <w:bodyDiv w:val="1"/>
      <w:marLeft w:val="0"/>
      <w:marRight w:val="0"/>
      <w:marTop w:val="0"/>
      <w:marBottom w:val="0"/>
      <w:divBdr>
        <w:top w:val="none" w:sz="0" w:space="0" w:color="auto"/>
        <w:left w:val="none" w:sz="0" w:space="0" w:color="auto"/>
        <w:bottom w:val="none" w:sz="0" w:space="0" w:color="auto"/>
        <w:right w:val="none" w:sz="0" w:space="0" w:color="auto"/>
      </w:divBdr>
    </w:div>
    <w:div w:id="94987092">
      <w:bodyDiv w:val="1"/>
      <w:marLeft w:val="0"/>
      <w:marRight w:val="0"/>
      <w:marTop w:val="0"/>
      <w:marBottom w:val="0"/>
      <w:divBdr>
        <w:top w:val="none" w:sz="0" w:space="0" w:color="auto"/>
        <w:left w:val="none" w:sz="0" w:space="0" w:color="auto"/>
        <w:bottom w:val="none" w:sz="0" w:space="0" w:color="auto"/>
        <w:right w:val="none" w:sz="0" w:space="0" w:color="auto"/>
      </w:divBdr>
    </w:div>
    <w:div w:id="167257018">
      <w:bodyDiv w:val="1"/>
      <w:marLeft w:val="0"/>
      <w:marRight w:val="0"/>
      <w:marTop w:val="0"/>
      <w:marBottom w:val="0"/>
      <w:divBdr>
        <w:top w:val="none" w:sz="0" w:space="0" w:color="auto"/>
        <w:left w:val="none" w:sz="0" w:space="0" w:color="auto"/>
        <w:bottom w:val="none" w:sz="0" w:space="0" w:color="auto"/>
        <w:right w:val="none" w:sz="0" w:space="0" w:color="auto"/>
      </w:divBdr>
    </w:div>
    <w:div w:id="199784318">
      <w:bodyDiv w:val="1"/>
      <w:marLeft w:val="0"/>
      <w:marRight w:val="0"/>
      <w:marTop w:val="0"/>
      <w:marBottom w:val="0"/>
      <w:divBdr>
        <w:top w:val="none" w:sz="0" w:space="0" w:color="auto"/>
        <w:left w:val="none" w:sz="0" w:space="0" w:color="auto"/>
        <w:bottom w:val="none" w:sz="0" w:space="0" w:color="auto"/>
        <w:right w:val="none" w:sz="0" w:space="0" w:color="auto"/>
      </w:divBdr>
    </w:div>
    <w:div w:id="269166200">
      <w:bodyDiv w:val="1"/>
      <w:marLeft w:val="0"/>
      <w:marRight w:val="0"/>
      <w:marTop w:val="0"/>
      <w:marBottom w:val="0"/>
      <w:divBdr>
        <w:top w:val="none" w:sz="0" w:space="0" w:color="auto"/>
        <w:left w:val="none" w:sz="0" w:space="0" w:color="auto"/>
        <w:bottom w:val="none" w:sz="0" w:space="0" w:color="auto"/>
        <w:right w:val="none" w:sz="0" w:space="0" w:color="auto"/>
      </w:divBdr>
    </w:div>
    <w:div w:id="281687905">
      <w:bodyDiv w:val="1"/>
      <w:marLeft w:val="0"/>
      <w:marRight w:val="0"/>
      <w:marTop w:val="0"/>
      <w:marBottom w:val="0"/>
      <w:divBdr>
        <w:top w:val="none" w:sz="0" w:space="0" w:color="auto"/>
        <w:left w:val="none" w:sz="0" w:space="0" w:color="auto"/>
        <w:bottom w:val="none" w:sz="0" w:space="0" w:color="auto"/>
        <w:right w:val="none" w:sz="0" w:space="0" w:color="auto"/>
      </w:divBdr>
    </w:div>
    <w:div w:id="361248704">
      <w:bodyDiv w:val="1"/>
      <w:marLeft w:val="0"/>
      <w:marRight w:val="0"/>
      <w:marTop w:val="0"/>
      <w:marBottom w:val="0"/>
      <w:divBdr>
        <w:top w:val="none" w:sz="0" w:space="0" w:color="auto"/>
        <w:left w:val="none" w:sz="0" w:space="0" w:color="auto"/>
        <w:bottom w:val="none" w:sz="0" w:space="0" w:color="auto"/>
        <w:right w:val="none" w:sz="0" w:space="0" w:color="auto"/>
      </w:divBdr>
    </w:div>
    <w:div w:id="382679062">
      <w:bodyDiv w:val="1"/>
      <w:marLeft w:val="0"/>
      <w:marRight w:val="0"/>
      <w:marTop w:val="0"/>
      <w:marBottom w:val="0"/>
      <w:divBdr>
        <w:top w:val="none" w:sz="0" w:space="0" w:color="auto"/>
        <w:left w:val="none" w:sz="0" w:space="0" w:color="auto"/>
        <w:bottom w:val="none" w:sz="0" w:space="0" w:color="auto"/>
        <w:right w:val="none" w:sz="0" w:space="0" w:color="auto"/>
      </w:divBdr>
    </w:div>
    <w:div w:id="544023771">
      <w:bodyDiv w:val="1"/>
      <w:marLeft w:val="0"/>
      <w:marRight w:val="0"/>
      <w:marTop w:val="0"/>
      <w:marBottom w:val="0"/>
      <w:divBdr>
        <w:top w:val="none" w:sz="0" w:space="0" w:color="auto"/>
        <w:left w:val="none" w:sz="0" w:space="0" w:color="auto"/>
        <w:bottom w:val="none" w:sz="0" w:space="0" w:color="auto"/>
        <w:right w:val="none" w:sz="0" w:space="0" w:color="auto"/>
      </w:divBdr>
    </w:div>
    <w:div w:id="548566826">
      <w:bodyDiv w:val="1"/>
      <w:marLeft w:val="0"/>
      <w:marRight w:val="0"/>
      <w:marTop w:val="0"/>
      <w:marBottom w:val="0"/>
      <w:divBdr>
        <w:top w:val="none" w:sz="0" w:space="0" w:color="auto"/>
        <w:left w:val="none" w:sz="0" w:space="0" w:color="auto"/>
        <w:bottom w:val="none" w:sz="0" w:space="0" w:color="auto"/>
        <w:right w:val="none" w:sz="0" w:space="0" w:color="auto"/>
      </w:divBdr>
    </w:div>
    <w:div w:id="579754607">
      <w:bodyDiv w:val="1"/>
      <w:marLeft w:val="0"/>
      <w:marRight w:val="0"/>
      <w:marTop w:val="0"/>
      <w:marBottom w:val="0"/>
      <w:divBdr>
        <w:top w:val="none" w:sz="0" w:space="0" w:color="auto"/>
        <w:left w:val="none" w:sz="0" w:space="0" w:color="auto"/>
        <w:bottom w:val="none" w:sz="0" w:space="0" w:color="auto"/>
        <w:right w:val="none" w:sz="0" w:space="0" w:color="auto"/>
      </w:divBdr>
    </w:div>
    <w:div w:id="581528226">
      <w:bodyDiv w:val="1"/>
      <w:marLeft w:val="0"/>
      <w:marRight w:val="0"/>
      <w:marTop w:val="0"/>
      <w:marBottom w:val="0"/>
      <w:divBdr>
        <w:top w:val="none" w:sz="0" w:space="0" w:color="auto"/>
        <w:left w:val="none" w:sz="0" w:space="0" w:color="auto"/>
        <w:bottom w:val="none" w:sz="0" w:space="0" w:color="auto"/>
        <w:right w:val="none" w:sz="0" w:space="0" w:color="auto"/>
      </w:divBdr>
    </w:div>
    <w:div w:id="704601411">
      <w:bodyDiv w:val="1"/>
      <w:marLeft w:val="0"/>
      <w:marRight w:val="0"/>
      <w:marTop w:val="0"/>
      <w:marBottom w:val="0"/>
      <w:divBdr>
        <w:top w:val="none" w:sz="0" w:space="0" w:color="auto"/>
        <w:left w:val="none" w:sz="0" w:space="0" w:color="auto"/>
        <w:bottom w:val="none" w:sz="0" w:space="0" w:color="auto"/>
        <w:right w:val="none" w:sz="0" w:space="0" w:color="auto"/>
      </w:divBdr>
    </w:div>
    <w:div w:id="735125097">
      <w:bodyDiv w:val="1"/>
      <w:marLeft w:val="0"/>
      <w:marRight w:val="0"/>
      <w:marTop w:val="0"/>
      <w:marBottom w:val="0"/>
      <w:divBdr>
        <w:top w:val="none" w:sz="0" w:space="0" w:color="auto"/>
        <w:left w:val="none" w:sz="0" w:space="0" w:color="auto"/>
        <w:bottom w:val="none" w:sz="0" w:space="0" w:color="auto"/>
        <w:right w:val="none" w:sz="0" w:space="0" w:color="auto"/>
      </w:divBdr>
    </w:div>
    <w:div w:id="782726813">
      <w:bodyDiv w:val="1"/>
      <w:marLeft w:val="0"/>
      <w:marRight w:val="0"/>
      <w:marTop w:val="0"/>
      <w:marBottom w:val="0"/>
      <w:divBdr>
        <w:top w:val="none" w:sz="0" w:space="0" w:color="auto"/>
        <w:left w:val="none" w:sz="0" w:space="0" w:color="auto"/>
        <w:bottom w:val="none" w:sz="0" w:space="0" w:color="auto"/>
        <w:right w:val="none" w:sz="0" w:space="0" w:color="auto"/>
      </w:divBdr>
    </w:div>
    <w:div w:id="809637917">
      <w:bodyDiv w:val="1"/>
      <w:marLeft w:val="0"/>
      <w:marRight w:val="0"/>
      <w:marTop w:val="0"/>
      <w:marBottom w:val="0"/>
      <w:divBdr>
        <w:top w:val="none" w:sz="0" w:space="0" w:color="auto"/>
        <w:left w:val="none" w:sz="0" w:space="0" w:color="auto"/>
        <w:bottom w:val="none" w:sz="0" w:space="0" w:color="auto"/>
        <w:right w:val="none" w:sz="0" w:space="0" w:color="auto"/>
      </w:divBdr>
    </w:div>
    <w:div w:id="854154429">
      <w:bodyDiv w:val="1"/>
      <w:marLeft w:val="0"/>
      <w:marRight w:val="0"/>
      <w:marTop w:val="0"/>
      <w:marBottom w:val="0"/>
      <w:divBdr>
        <w:top w:val="none" w:sz="0" w:space="0" w:color="auto"/>
        <w:left w:val="none" w:sz="0" w:space="0" w:color="auto"/>
        <w:bottom w:val="none" w:sz="0" w:space="0" w:color="auto"/>
        <w:right w:val="none" w:sz="0" w:space="0" w:color="auto"/>
      </w:divBdr>
    </w:div>
    <w:div w:id="911431364">
      <w:bodyDiv w:val="1"/>
      <w:marLeft w:val="0"/>
      <w:marRight w:val="0"/>
      <w:marTop w:val="0"/>
      <w:marBottom w:val="0"/>
      <w:divBdr>
        <w:top w:val="none" w:sz="0" w:space="0" w:color="auto"/>
        <w:left w:val="none" w:sz="0" w:space="0" w:color="auto"/>
        <w:bottom w:val="none" w:sz="0" w:space="0" w:color="auto"/>
        <w:right w:val="none" w:sz="0" w:space="0" w:color="auto"/>
      </w:divBdr>
    </w:div>
    <w:div w:id="920678669">
      <w:bodyDiv w:val="1"/>
      <w:marLeft w:val="0"/>
      <w:marRight w:val="0"/>
      <w:marTop w:val="0"/>
      <w:marBottom w:val="0"/>
      <w:divBdr>
        <w:top w:val="none" w:sz="0" w:space="0" w:color="auto"/>
        <w:left w:val="none" w:sz="0" w:space="0" w:color="auto"/>
        <w:bottom w:val="none" w:sz="0" w:space="0" w:color="auto"/>
        <w:right w:val="none" w:sz="0" w:space="0" w:color="auto"/>
      </w:divBdr>
    </w:div>
    <w:div w:id="956259192">
      <w:bodyDiv w:val="1"/>
      <w:marLeft w:val="0"/>
      <w:marRight w:val="0"/>
      <w:marTop w:val="0"/>
      <w:marBottom w:val="0"/>
      <w:divBdr>
        <w:top w:val="none" w:sz="0" w:space="0" w:color="auto"/>
        <w:left w:val="none" w:sz="0" w:space="0" w:color="auto"/>
        <w:bottom w:val="none" w:sz="0" w:space="0" w:color="auto"/>
        <w:right w:val="none" w:sz="0" w:space="0" w:color="auto"/>
      </w:divBdr>
    </w:div>
    <w:div w:id="967710910">
      <w:bodyDiv w:val="1"/>
      <w:marLeft w:val="0"/>
      <w:marRight w:val="0"/>
      <w:marTop w:val="0"/>
      <w:marBottom w:val="0"/>
      <w:divBdr>
        <w:top w:val="none" w:sz="0" w:space="0" w:color="auto"/>
        <w:left w:val="none" w:sz="0" w:space="0" w:color="auto"/>
        <w:bottom w:val="none" w:sz="0" w:space="0" w:color="auto"/>
        <w:right w:val="none" w:sz="0" w:space="0" w:color="auto"/>
      </w:divBdr>
    </w:div>
    <w:div w:id="999774462">
      <w:bodyDiv w:val="1"/>
      <w:marLeft w:val="0"/>
      <w:marRight w:val="0"/>
      <w:marTop w:val="0"/>
      <w:marBottom w:val="0"/>
      <w:divBdr>
        <w:top w:val="none" w:sz="0" w:space="0" w:color="auto"/>
        <w:left w:val="none" w:sz="0" w:space="0" w:color="auto"/>
        <w:bottom w:val="none" w:sz="0" w:space="0" w:color="auto"/>
        <w:right w:val="none" w:sz="0" w:space="0" w:color="auto"/>
      </w:divBdr>
    </w:div>
    <w:div w:id="1019817437">
      <w:bodyDiv w:val="1"/>
      <w:marLeft w:val="0"/>
      <w:marRight w:val="0"/>
      <w:marTop w:val="0"/>
      <w:marBottom w:val="0"/>
      <w:divBdr>
        <w:top w:val="none" w:sz="0" w:space="0" w:color="auto"/>
        <w:left w:val="none" w:sz="0" w:space="0" w:color="auto"/>
        <w:bottom w:val="none" w:sz="0" w:space="0" w:color="auto"/>
        <w:right w:val="none" w:sz="0" w:space="0" w:color="auto"/>
      </w:divBdr>
    </w:div>
    <w:div w:id="1035500557">
      <w:bodyDiv w:val="1"/>
      <w:marLeft w:val="0"/>
      <w:marRight w:val="0"/>
      <w:marTop w:val="0"/>
      <w:marBottom w:val="0"/>
      <w:divBdr>
        <w:top w:val="none" w:sz="0" w:space="0" w:color="auto"/>
        <w:left w:val="none" w:sz="0" w:space="0" w:color="auto"/>
        <w:bottom w:val="none" w:sz="0" w:space="0" w:color="auto"/>
        <w:right w:val="none" w:sz="0" w:space="0" w:color="auto"/>
      </w:divBdr>
    </w:div>
    <w:div w:id="1069425000">
      <w:bodyDiv w:val="1"/>
      <w:marLeft w:val="0"/>
      <w:marRight w:val="0"/>
      <w:marTop w:val="0"/>
      <w:marBottom w:val="0"/>
      <w:divBdr>
        <w:top w:val="none" w:sz="0" w:space="0" w:color="auto"/>
        <w:left w:val="none" w:sz="0" w:space="0" w:color="auto"/>
        <w:bottom w:val="none" w:sz="0" w:space="0" w:color="auto"/>
        <w:right w:val="none" w:sz="0" w:space="0" w:color="auto"/>
      </w:divBdr>
    </w:div>
    <w:div w:id="1085877736">
      <w:bodyDiv w:val="1"/>
      <w:marLeft w:val="0"/>
      <w:marRight w:val="0"/>
      <w:marTop w:val="0"/>
      <w:marBottom w:val="0"/>
      <w:divBdr>
        <w:top w:val="none" w:sz="0" w:space="0" w:color="auto"/>
        <w:left w:val="none" w:sz="0" w:space="0" w:color="auto"/>
        <w:bottom w:val="none" w:sz="0" w:space="0" w:color="auto"/>
        <w:right w:val="none" w:sz="0" w:space="0" w:color="auto"/>
      </w:divBdr>
    </w:div>
    <w:div w:id="1089885306">
      <w:bodyDiv w:val="1"/>
      <w:marLeft w:val="0"/>
      <w:marRight w:val="0"/>
      <w:marTop w:val="0"/>
      <w:marBottom w:val="0"/>
      <w:divBdr>
        <w:top w:val="none" w:sz="0" w:space="0" w:color="auto"/>
        <w:left w:val="none" w:sz="0" w:space="0" w:color="auto"/>
        <w:bottom w:val="none" w:sz="0" w:space="0" w:color="auto"/>
        <w:right w:val="none" w:sz="0" w:space="0" w:color="auto"/>
      </w:divBdr>
    </w:div>
    <w:div w:id="1106388979">
      <w:bodyDiv w:val="1"/>
      <w:marLeft w:val="0"/>
      <w:marRight w:val="0"/>
      <w:marTop w:val="0"/>
      <w:marBottom w:val="0"/>
      <w:divBdr>
        <w:top w:val="none" w:sz="0" w:space="0" w:color="auto"/>
        <w:left w:val="none" w:sz="0" w:space="0" w:color="auto"/>
        <w:bottom w:val="none" w:sz="0" w:space="0" w:color="auto"/>
        <w:right w:val="none" w:sz="0" w:space="0" w:color="auto"/>
      </w:divBdr>
    </w:div>
    <w:div w:id="1164206971">
      <w:bodyDiv w:val="1"/>
      <w:marLeft w:val="0"/>
      <w:marRight w:val="0"/>
      <w:marTop w:val="0"/>
      <w:marBottom w:val="0"/>
      <w:divBdr>
        <w:top w:val="none" w:sz="0" w:space="0" w:color="auto"/>
        <w:left w:val="none" w:sz="0" w:space="0" w:color="auto"/>
        <w:bottom w:val="none" w:sz="0" w:space="0" w:color="auto"/>
        <w:right w:val="none" w:sz="0" w:space="0" w:color="auto"/>
      </w:divBdr>
    </w:div>
    <w:div w:id="1198615284">
      <w:bodyDiv w:val="1"/>
      <w:marLeft w:val="0"/>
      <w:marRight w:val="0"/>
      <w:marTop w:val="0"/>
      <w:marBottom w:val="0"/>
      <w:divBdr>
        <w:top w:val="none" w:sz="0" w:space="0" w:color="auto"/>
        <w:left w:val="none" w:sz="0" w:space="0" w:color="auto"/>
        <w:bottom w:val="none" w:sz="0" w:space="0" w:color="auto"/>
        <w:right w:val="none" w:sz="0" w:space="0" w:color="auto"/>
      </w:divBdr>
    </w:div>
    <w:div w:id="1213350540">
      <w:bodyDiv w:val="1"/>
      <w:marLeft w:val="0"/>
      <w:marRight w:val="0"/>
      <w:marTop w:val="0"/>
      <w:marBottom w:val="0"/>
      <w:divBdr>
        <w:top w:val="none" w:sz="0" w:space="0" w:color="auto"/>
        <w:left w:val="none" w:sz="0" w:space="0" w:color="auto"/>
        <w:bottom w:val="none" w:sz="0" w:space="0" w:color="auto"/>
        <w:right w:val="none" w:sz="0" w:space="0" w:color="auto"/>
      </w:divBdr>
    </w:div>
    <w:div w:id="1232036186">
      <w:bodyDiv w:val="1"/>
      <w:marLeft w:val="0"/>
      <w:marRight w:val="0"/>
      <w:marTop w:val="0"/>
      <w:marBottom w:val="0"/>
      <w:divBdr>
        <w:top w:val="none" w:sz="0" w:space="0" w:color="auto"/>
        <w:left w:val="none" w:sz="0" w:space="0" w:color="auto"/>
        <w:bottom w:val="none" w:sz="0" w:space="0" w:color="auto"/>
        <w:right w:val="none" w:sz="0" w:space="0" w:color="auto"/>
      </w:divBdr>
    </w:div>
    <w:div w:id="1264722109">
      <w:bodyDiv w:val="1"/>
      <w:marLeft w:val="0"/>
      <w:marRight w:val="0"/>
      <w:marTop w:val="0"/>
      <w:marBottom w:val="0"/>
      <w:divBdr>
        <w:top w:val="none" w:sz="0" w:space="0" w:color="auto"/>
        <w:left w:val="none" w:sz="0" w:space="0" w:color="auto"/>
        <w:bottom w:val="none" w:sz="0" w:space="0" w:color="auto"/>
        <w:right w:val="none" w:sz="0" w:space="0" w:color="auto"/>
      </w:divBdr>
    </w:div>
    <w:div w:id="1298298030">
      <w:bodyDiv w:val="1"/>
      <w:marLeft w:val="0"/>
      <w:marRight w:val="0"/>
      <w:marTop w:val="0"/>
      <w:marBottom w:val="0"/>
      <w:divBdr>
        <w:top w:val="none" w:sz="0" w:space="0" w:color="auto"/>
        <w:left w:val="none" w:sz="0" w:space="0" w:color="auto"/>
        <w:bottom w:val="none" w:sz="0" w:space="0" w:color="auto"/>
        <w:right w:val="none" w:sz="0" w:space="0" w:color="auto"/>
      </w:divBdr>
    </w:div>
    <w:div w:id="1339886695">
      <w:bodyDiv w:val="1"/>
      <w:marLeft w:val="0"/>
      <w:marRight w:val="0"/>
      <w:marTop w:val="0"/>
      <w:marBottom w:val="0"/>
      <w:divBdr>
        <w:top w:val="none" w:sz="0" w:space="0" w:color="auto"/>
        <w:left w:val="none" w:sz="0" w:space="0" w:color="auto"/>
        <w:bottom w:val="none" w:sz="0" w:space="0" w:color="auto"/>
        <w:right w:val="none" w:sz="0" w:space="0" w:color="auto"/>
      </w:divBdr>
    </w:div>
    <w:div w:id="1410300096">
      <w:bodyDiv w:val="1"/>
      <w:marLeft w:val="0"/>
      <w:marRight w:val="0"/>
      <w:marTop w:val="0"/>
      <w:marBottom w:val="0"/>
      <w:divBdr>
        <w:top w:val="none" w:sz="0" w:space="0" w:color="auto"/>
        <w:left w:val="none" w:sz="0" w:space="0" w:color="auto"/>
        <w:bottom w:val="none" w:sz="0" w:space="0" w:color="auto"/>
        <w:right w:val="none" w:sz="0" w:space="0" w:color="auto"/>
      </w:divBdr>
    </w:div>
    <w:div w:id="1444152957">
      <w:bodyDiv w:val="1"/>
      <w:marLeft w:val="0"/>
      <w:marRight w:val="0"/>
      <w:marTop w:val="0"/>
      <w:marBottom w:val="0"/>
      <w:divBdr>
        <w:top w:val="none" w:sz="0" w:space="0" w:color="auto"/>
        <w:left w:val="none" w:sz="0" w:space="0" w:color="auto"/>
        <w:bottom w:val="none" w:sz="0" w:space="0" w:color="auto"/>
        <w:right w:val="none" w:sz="0" w:space="0" w:color="auto"/>
      </w:divBdr>
    </w:div>
    <w:div w:id="1481992873">
      <w:bodyDiv w:val="1"/>
      <w:marLeft w:val="0"/>
      <w:marRight w:val="0"/>
      <w:marTop w:val="0"/>
      <w:marBottom w:val="0"/>
      <w:divBdr>
        <w:top w:val="none" w:sz="0" w:space="0" w:color="auto"/>
        <w:left w:val="none" w:sz="0" w:space="0" w:color="auto"/>
        <w:bottom w:val="none" w:sz="0" w:space="0" w:color="auto"/>
        <w:right w:val="none" w:sz="0" w:space="0" w:color="auto"/>
      </w:divBdr>
    </w:div>
    <w:div w:id="1489436879">
      <w:bodyDiv w:val="1"/>
      <w:marLeft w:val="0"/>
      <w:marRight w:val="0"/>
      <w:marTop w:val="0"/>
      <w:marBottom w:val="0"/>
      <w:divBdr>
        <w:top w:val="none" w:sz="0" w:space="0" w:color="auto"/>
        <w:left w:val="none" w:sz="0" w:space="0" w:color="auto"/>
        <w:bottom w:val="none" w:sz="0" w:space="0" w:color="auto"/>
        <w:right w:val="none" w:sz="0" w:space="0" w:color="auto"/>
      </w:divBdr>
    </w:div>
    <w:div w:id="1601909867">
      <w:bodyDiv w:val="1"/>
      <w:marLeft w:val="0"/>
      <w:marRight w:val="0"/>
      <w:marTop w:val="0"/>
      <w:marBottom w:val="0"/>
      <w:divBdr>
        <w:top w:val="none" w:sz="0" w:space="0" w:color="auto"/>
        <w:left w:val="none" w:sz="0" w:space="0" w:color="auto"/>
        <w:bottom w:val="none" w:sz="0" w:space="0" w:color="auto"/>
        <w:right w:val="none" w:sz="0" w:space="0" w:color="auto"/>
      </w:divBdr>
    </w:div>
    <w:div w:id="1607270881">
      <w:bodyDiv w:val="1"/>
      <w:marLeft w:val="0"/>
      <w:marRight w:val="0"/>
      <w:marTop w:val="0"/>
      <w:marBottom w:val="0"/>
      <w:divBdr>
        <w:top w:val="none" w:sz="0" w:space="0" w:color="auto"/>
        <w:left w:val="none" w:sz="0" w:space="0" w:color="auto"/>
        <w:bottom w:val="none" w:sz="0" w:space="0" w:color="auto"/>
        <w:right w:val="none" w:sz="0" w:space="0" w:color="auto"/>
      </w:divBdr>
    </w:div>
    <w:div w:id="1713575660">
      <w:bodyDiv w:val="1"/>
      <w:marLeft w:val="0"/>
      <w:marRight w:val="0"/>
      <w:marTop w:val="0"/>
      <w:marBottom w:val="0"/>
      <w:divBdr>
        <w:top w:val="none" w:sz="0" w:space="0" w:color="auto"/>
        <w:left w:val="none" w:sz="0" w:space="0" w:color="auto"/>
        <w:bottom w:val="none" w:sz="0" w:space="0" w:color="auto"/>
        <w:right w:val="none" w:sz="0" w:space="0" w:color="auto"/>
      </w:divBdr>
    </w:div>
    <w:div w:id="1866628844">
      <w:bodyDiv w:val="1"/>
      <w:marLeft w:val="0"/>
      <w:marRight w:val="0"/>
      <w:marTop w:val="0"/>
      <w:marBottom w:val="0"/>
      <w:divBdr>
        <w:top w:val="none" w:sz="0" w:space="0" w:color="auto"/>
        <w:left w:val="none" w:sz="0" w:space="0" w:color="auto"/>
        <w:bottom w:val="none" w:sz="0" w:space="0" w:color="auto"/>
        <w:right w:val="none" w:sz="0" w:space="0" w:color="auto"/>
      </w:divBdr>
    </w:div>
    <w:div w:id="1913271096">
      <w:bodyDiv w:val="1"/>
      <w:marLeft w:val="0"/>
      <w:marRight w:val="0"/>
      <w:marTop w:val="0"/>
      <w:marBottom w:val="0"/>
      <w:divBdr>
        <w:top w:val="none" w:sz="0" w:space="0" w:color="auto"/>
        <w:left w:val="none" w:sz="0" w:space="0" w:color="auto"/>
        <w:bottom w:val="none" w:sz="0" w:space="0" w:color="auto"/>
        <w:right w:val="none" w:sz="0" w:space="0" w:color="auto"/>
      </w:divBdr>
    </w:div>
    <w:div w:id="2018075416">
      <w:bodyDiv w:val="1"/>
      <w:marLeft w:val="0"/>
      <w:marRight w:val="0"/>
      <w:marTop w:val="0"/>
      <w:marBottom w:val="0"/>
      <w:divBdr>
        <w:top w:val="none" w:sz="0" w:space="0" w:color="auto"/>
        <w:left w:val="none" w:sz="0" w:space="0" w:color="auto"/>
        <w:bottom w:val="none" w:sz="0" w:space="0" w:color="auto"/>
        <w:right w:val="none" w:sz="0" w:space="0" w:color="auto"/>
      </w:divBdr>
    </w:div>
    <w:div w:id="2091350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chart" Target="charts/chart6.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chart" Target="charts/chart5.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chart" Target="charts/chart4.xml"/><Relationship Id="rId4" Type="http://schemas.openxmlformats.org/officeDocument/2006/relationships/webSettings" Target="webSettings.xml"/><Relationship Id="rId9" Type="http://schemas.openxmlformats.org/officeDocument/2006/relationships/chart" Target="charts/chart3.xml"/><Relationship Id="rId14" Type="http://schemas.openxmlformats.org/officeDocument/2006/relationships/header" Target="header2.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dvornikova\Desktop\&#1044;&#1074;&#1086;&#1088;&#1085;&#1080;&#1082;&#1086;&#1074;&#1072;%20&#1045;&#1083;&#1077;&#1085;&#1072;\1.%20&#1043;&#1055;\&#1054;&#1058;&#1063;&#1045;&#1058;&#1067;\&#1054;&#1058;&#1063;&#1045;&#1058;%20&#1043;&#1055;%20&#1079;&#1072;%202019\&#1054;&#1090;&#1095;&#1077;&#1090;%20&#1087;&#1086;%20&#1043;&#1055;%20&#1079;&#1072;%202019%20&#1075;&#1086;&#1076;_&#1048;&#1058;&#1054;&#1043;%20&#1091;&#1090;&#1086;&#1095;%20&#1089;%20&#1074;&#1099;&#1076;&#1077;&#1083;%2025.05.2020.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dvornikova\Desktop\&#1044;&#1074;&#1086;&#1088;&#1085;&#1080;&#1082;&#1086;&#1074;&#1072;%20&#1045;&#1083;&#1077;&#1085;&#1072;\1.%20&#1043;&#1055;\&#1054;&#1058;&#1063;&#1045;&#1058;&#1067;\&#1054;&#1058;&#1063;&#1045;&#1058;%20&#1043;&#1055;%20&#1079;&#1072;%202019\&#1054;&#1090;&#1095;&#1077;&#1090;%20&#1087;&#1086;%20&#1043;&#1055;%20&#1079;&#1072;%202019%20&#1075;&#1086;&#1076;_&#1048;&#1058;&#1054;&#1043;%20&#1091;&#1090;&#1086;&#1095;%20&#1073;&#1077;&#1079;%20&#1074;&#1099;&#1076;&#1077;&#1083;%2031.05.2020.xlsx" TargetMode="External"/></Relationships>
</file>

<file path=word/charts/_rels/chart3.xml.rels><?xml version="1.0" encoding="UTF-8" standalone="yes"?>
<Relationships xmlns="http://schemas.openxmlformats.org/package/2006/relationships"><Relationship Id="rId2" Type="http://schemas.openxmlformats.org/officeDocument/2006/relationships/oleObject" Target="file:///C:\Users\dvornikova\Desktop\&#1044;&#1074;&#1086;&#1088;&#1085;&#1080;&#1082;&#1086;&#1074;&#1072;%20&#1045;&#1083;&#1077;&#1085;&#1072;\1.%20&#1043;&#1055;\&#1054;&#1058;&#1063;&#1045;&#1058;&#1067;\&#1054;&#1058;&#1063;&#1045;&#1058;%20&#1043;&#1055;%20&#1079;&#1072;%202019\&#1054;&#1090;&#1095;&#1077;&#1090;%20&#1087;&#1086;%20&#1043;&#1055;%20&#1079;&#1072;%202019%20&#1075;&#1086;&#1076;_&#1048;&#1058;&#1054;&#1043;%20&#1091;&#1090;&#1086;&#1095;&#1085;&#1077;&#1085;&#1085;&#1099;&#1081;%2025.05.2020.xlsx" TargetMode="External"/><Relationship Id="rId1" Type="http://schemas.openxmlformats.org/officeDocument/2006/relationships/themeOverride" Target="../theme/themeOverride1.xml"/></Relationships>
</file>

<file path=word/charts/_rels/chart4.xml.rels><?xml version="1.0" encoding="UTF-8" standalone="yes"?>
<Relationships xmlns="http://schemas.openxmlformats.org/package/2006/relationships"><Relationship Id="rId2" Type="http://schemas.openxmlformats.org/officeDocument/2006/relationships/oleObject" Target="file:///C:\Users\dvornikova\Desktop\&#1044;&#1074;&#1086;&#1088;&#1085;&#1080;&#1082;&#1086;&#1074;&#1072;%20&#1045;&#1083;&#1077;&#1085;&#1072;\1.%20&#1043;&#1055;\&#1054;&#1058;&#1063;&#1045;&#1058;&#1067;\&#1054;&#1058;&#1063;&#1045;&#1058;%20&#1043;&#1055;%20&#1079;&#1072;%202019\&#1054;&#1090;&#1095;&#1077;&#1090;%20&#1087;&#1086;%20&#1043;&#1055;%20&#1079;&#1072;%202019%20&#1075;&#1086;&#1076;_&#1048;&#1058;&#1054;&#1043;.xlsx!4.%20&#1054;&#1094;&#1077;&#1085;&#1082;&#1072;!&#1044;&#1080;&#1072;&#1075;&#1088;&#1072;&#1084;&#1084;&#1072;%202" TargetMode="External"/><Relationship Id="rId1" Type="http://schemas.openxmlformats.org/officeDocument/2006/relationships/themeOverride" Target="../theme/themeOverride2.xml"/></Relationships>
</file>

<file path=word/charts/_rels/chart5.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_____Microsoft_Office_Excel1.xlsx"/><Relationship Id="rId1" Type="http://schemas.openxmlformats.org/officeDocument/2006/relationships/themeOverride" Target="../theme/themeOverride3.xml"/></Relationships>
</file>

<file path=word/charts/_rels/chart6.xml.rels><?xml version="1.0" encoding="UTF-8" standalone="yes"?>
<Relationships xmlns="http://schemas.openxmlformats.org/package/2006/relationships"><Relationship Id="rId2" Type="http://schemas.openxmlformats.org/officeDocument/2006/relationships/package" Target="../embeddings/_____Microsoft_Office_Excel2.xlsx"/><Relationship Id="rId1" Type="http://schemas.openxmlformats.org/officeDocument/2006/relationships/themeOverride" Target="../theme/themeOverride4.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400"/>
            </a:pPr>
            <a:r>
              <a:rPr lang="ru-RU" sz="1400"/>
              <a:t>Достижение плановых значений показателей государственных программ (К1)</a:t>
            </a:r>
          </a:p>
        </c:rich>
      </c:tx>
    </c:title>
    <c:plotArea>
      <c:layout>
        <c:manualLayout>
          <c:layoutTarget val="inner"/>
          <c:xMode val="edge"/>
          <c:yMode val="edge"/>
          <c:x val="5.8669147846897231E-2"/>
          <c:y val="0.1720736438745136"/>
          <c:w val="0.35720681088386186"/>
          <c:h val="0.79489303297790215"/>
        </c:manualLayout>
      </c:layout>
      <c:doughnutChart>
        <c:varyColors val="1"/>
        <c:ser>
          <c:idx val="0"/>
          <c:order val="0"/>
          <c:spPr>
            <a:ln>
              <a:solidFill>
                <a:schemeClr val="tx1">
                  <a:lumMod val="65000"/>
                  <a:lumOff val="35000"/>
                </a:schemeClr>
              </a:solidFill>
            </a:ln>
          </c:spPr>
          <c:explosion val="5"/>
          <c:dPt>
            <c:idx val="0"/>
            <c:spPr>
              <a:solidFill>
                <a:schemeClr val="bg1"/>
              </a:solidFill>
              <a:ln>
                <a:solidFill>
                  <a:schemeClr val="tx1">
                    <a:lumMod val="65000"/>
                    <a:lumOff val="35000"/>
                  </a:schemeClr>
                </a:solidFill>
              </a:ln>
            </c:spPr>
          </c:dPt>
          <c:dPt>
            <c:idx val="1"/>
            <c:spPr>
              <a:solidFill>
                <a:srgbClr val="99FF99"/>
              </a:solidFill>
              <a:ln>
                <a:solidFill>
                  <a:schemeClr val="tx1">
                    <a:lumMod val="65000"/>
                    <a:lumOff val="35000"/>
                  </a:schemeClr>
                </a:solidFill>
              </a:ln>
            </c:spPr>
          </c:dPt>
          <c:dPt>
            <c:idx val="2"/>
            <c:spPr>
              <a:solidFill>
                <a:srgbClr val="00B050"/>
              </a:solidFill>
              <a:ln>
                <a:solidFill>
                  <a:schemeClr val="tx1">
                    <a:lumMod val="65000"/>
                    <a:lumOff val="35000"/>
                  </a:schemeClr>
                </a:solidFill>
              </a:ln>
            </c:spPr>
          </c:dPt>
          <c:dPt>
            <c:idx val="3"/>
            <c:spPr>
              <a:solidFill>
                <a:srgbClr val="FFFF00"/>
              </a:solidFill>
              <a:ln>
                <a:solidFill>
                  <a:schemeClr val="tx1">
                    <a:lumMod val="65000"/>
                    <a:lumOff val="35000"/>
                  </a:schemeClr>
                </a:solidFill>
              </a:ln>
            </c:spPr>
          </c:dPt>
          <c:dPt>
            <c:idx val="4"/>
            <c:spPr>
              <a:solidFill>
                <a:srgbClr val="EC3E3E"/>
              </a:solidFill>
              <a:ln>
                <a:solidFill>
                  <a:schemeClr val="tx1">
                    <a:lumMod val="65000"/>
                    <a:lumOff val="35000"/>
                  </a:schemeClr>
                </a:solidFill>
              </a:ln>
            </c:spPr>
          </c:dPt>
          <c:dLbls>
            <c:spPr>
              <a:solidFill>
                <a:schemeClr val="bg1"/>
              </a:solidFill>
              <a:ln>
                <a:solidFill>
                  <a:schemeClr val="tx1">
                    <a:lumMod val="65000"/>
                    <a:lumOff val="35000"/>
                  </a:schemeClr>
                </a:solidFill>
              </a:ln>
            </c:spPr>
            <c:txPr>
              <a:bodyPr/>
              <a:lstStyle/>
              <a:p>
                <a:pPr>
                  <a:defRPr sz="1100"/>
                </a:pPr>
                <a:endParaRPr lang="ru-RU"/>
              </a:p>
            </c:txPr>
            <c:showVal val="1"/>
            <c:showLeaderLines val="1"/>
          </c:dLbls>
          <c:cat>
            <c:strRef>
              <c:f>'1. Показатели'!$S$4:$W$4</c:f>
              <c:strCache>
                <c:ptCount val="5"/>
                <c:pt idx="0">
                  <c:v>Данные о фактических значениях отсутствуют</c:v>
                </c:pt>
                <c:pt idx="1">
                  <c:v>Значительно перевыполнены (более 150%)</c:v>
                </c:pt>
                <c:pt idx="2">
                  <c:v>Высокая степень (от 99,5 до 150%)</c:v>
                </c:pt>
                <c:pt idx="3">
                  <c:v>Средняя степень (от 85 до 99,5%)</c:v>
                </c:pt>
                <c:pt idx="4">
                  <c:v>Низкая степень (ниже 85%)</c:v>
                </c:pt>
              </c:strCache>
            </c:strRef>
          </c:cat>
          <c:val>
            <c:numRef>
              <c:f>'1. Показатели'!$S$5:$W$5</c:f>
              <c:numCache>
                <c:formatCode>General</c:formatCode>
                <c:ptCount val="5"/>
                <c:pt idx="0">
                  <c:v>32</c:v>
                </c:pt>
                <c:pt idx="1">
                  <c:v>39</c:v>
                </c:pt>
                <c:pt idx="2">
                  <c:v>365</c:v>
                </c:pt>
                <c:pt idx="3">
                  <c:v>67</c:v>
                </c:pt>
                <c:pt idx="4">
                  <c:v>28</c:v>
                </c:pt>
              </c:numCache>
            </c:numRef>
          </c:val>
        </c:ser>
        <c:dLbls>
          <c:showVal val="1"/>
        </c:dLbls>
        <c:firstSliceAng val="0"/>
        <c:holeSize val="67"/>
      </c:doughnutChart>
      <c:spPr>
        <a:scene3d>
          <a:camera prst="orthographicFront"/>
          <a:lightRig rig="threePt" dir="t"/>
        </a:scene3d>
        <a:sp3d>
          <a:bevelT w="190500" h="38100"/>
        </a:sp3d>
      </c:spPr>
    </c:plotArea>
    <c:legend>
      <c:legendPos val="r"/>
      <c:layout>
        <c:manualLayout>
          <c:xMode val="edge"/>
          <c:yMode val="edge"/>
          <c:x val="0.46248503250819123"/>
          <c:y val="0.40515640114121232"/>
          <c:w val="0.5263216852795366"/>
          <c:h val="0.47927409447498881"/>
        </c:manualLayout>
      </c:layout>
      <c:txPr>
        <a:bodyPr/>
        <a:lstStyle/>
        <a:p>
          <a:pPr rtl="0">
            <a:defRPr sz="1200"/>
          </a:pPr>
          <a:endParaRPr lang="ru-RU"/>
        </a:p>
      </c:txPr>
    </c:legend>
    <c:plotVisOnly val="1"/>
    <c:dispBlanksAs val="zero"/>
  </c:chart>
  <c:txPr>
    <a:bodyPr/>
    <a:lstStyle/>
    <a:p>
      <a:pPr>
        <a:defRPr>
          <a:latin typeface="Times New Roman" pitchFamily="18" charset="0"/>
          <a:cs typeface="Times New Roman" pitchFamily="18" charset="0"/>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400"/>
            </a:pPr>
            <a:r>
              <a:rPr lang="ru-RU" sz="1400" b="1" i="0" u="none" strike="noStrike" baseline="0">
                <a:effectLst/>
              </a:rPr>
              <a:t>Динамика значений показателей по сравнению</a:t>
            </a:r>
          </a:p>
          <a:p>
            <a:pPr>
              <a:defRPr sz="1400"/>
            </a:pPr>
            <a:r>
              <a:rPr lang="ru-RU" sz="1400" b="1" i="0" u="none" strike="noStrike" baseline="0">
                <a:effectLst/>
              </a:rPr>
              <a:t> с 2018 годом </a:t>
            </a:r>
            <a:r>
              <a:rPr lang="ru-RU" sz="1400"/>
              <a:t>(К2)</a:t>
            </a:r>
          </a:p>
        </c:rich>
      </c:tx>
      <c:layout>
        <c:manualLayout>
          <c:xMode val="edge"/>
          <c:yMode val="edge"/>
          <c:x val="0.11790505217577858"/>
          <c:y val="3.0877057192047606E-2"/>
        </c:manualLayout>
      </c:layout>
    </c:title>
    <c:plotArea>
      <c:layout>
        <c:manualLayout>
          <c:layoutTarget val="inner"/>
          <c:xMode val="edge"/>
          <c:yMode val="edge"/>
          <c:x val="5.8669147846897224E-2"/>
          <c:y val="0.1720736438745136"/>
          <c:w val="0.35720681088386186"/>
          <c:h val="0.79489303297790215"/>
        </c:manualLayout>
      </c:layout>
      <c:doughnutChart>
        <c:varyColors val="1"/>
        <c:ser>
          <c:idx val="0"/>
          <c:order val="0"/>
          <c:spPr>
            <a:ln>
              <a:solidFill>
                <a:schemeClr val="tx1">
                  <a:lumMod val="65000"/>
                  <a:lumOff val="35000"/>
                </a:schemeClr>
              </a:solidFill>
            </a:ln>
          </c:spPr>
          <c:explosion val="5"/>
          <c:dPt>
            <c:idx val="0"/>
            <c:spPr>
              <a:solidFill>
                <a:srgbClr val="00B050"/>
              </a:solidFill>
              <a:ln>
                <a:solidFill>
                  <a:schemeClr val="tx1">
                    <a:lumMod val="65000"/>
                    <a:lumOff val="35000"/>
                  </a:schemeClr>
                </a:solidFill>
              </a:ln>
            </c:spPr>
          </c:dPt>
          <c:dPt>
            <c:idx val="1"/>
            <c:spPr>
              <a:solidFill>
                <a:schemeClr val="tx2">
                  <a:lumMod val="60000"/>
                  <a:lumOff val="40000"/>
                </a:schemeClr>
              </a:solidFill>
              <a:ln>
                <a:solidFill>
                  <a:schemeClr val="tx1">
                    <a:lumMod val="65000"/>
                    <a:lumOff val="35000"/>
                  </a:schemeClr>
                </a:solidFill>
              </a:ln>
            </c:spPr>
          </c:dPt>
          <c:dPt>
            <c:idx val="2"/>
            <c:spPr>
              <a:solidFill>
                <a:srgbClr val="FF0000"/>
              </a:solidFill>
              <a:ln>
                <a:solidFill>
                  <a:schemeClr val="tx1">
                    <a:lumMod val="65000"/>
                    <a:lumOff val="35000"/>
                  </a:schemeClr>
                </a:solidFill>
              </a:ln>
            </c:spPr>
          </c:dPt>
          <c:dLbls>
            <c:spPr>
              <a:solidFill>
                <a:schemeClr val="bg1"/>
              </a:solidFill>
              <a:ln>
                <a:solidFill>
                  <a:schemeClr val="tx1">
                    <a:lumMod val="65000"/>
                    <a:lumOff val="35000"/>
                  </a:schemeClr>
                </a:solidFill>
              </a:ln>
            </c:spPr>
            <c:txPr>
              <a:bodyPr/>
              <a:lstStyle/>
              <a:p>
                <a:pPr>
                  <a:defRPr sz="1100"/>
                </a:pPr>
                <a:endParaRPr lang="ru-RU"/>
              </a:p>
            </c:txPr>
            <c:showVal val="1"/>
            <c:showLeaderLines val="1"/>
          </c:dLbls>
          <c:cat>
            <c:strRef>
              <c:f>'1. Показатели'!$Z$4:$AB$4</c:f>
              <c:strCache>
                <c:ptCount val="3"/>
                <c:pt idx="0">
                  <c:v>Положительная динамика (К2≥101%)</c:v>
                </c:pt>
                <c:pt idx="1">
                  <c:v>Значения на уровне 2018 года (К2 от 99 до 101%)</c:v>
                </c:pt>
                <c:pt idx="2">
                  <c:v>Отрицательная динамика (К2 &lt; 99%)</c:v>
                </c:pt>
              </c:strCache>
            </c:strRef>
          </c:cat>
          <c:val>
            <c:numRef>
              <c:f>'1. Показатели'!$Z$5:$AB$5</c:f>
              <c:numCache>
                <c:formatCode>General</c:formatCode>
                <c:ptCount val="3"/>
                <c:pt idx="0">
                  <c:v>205</c:v>
                </c:pt>
                <c:pt idx="1">
                  <c:v>154</c:v>
                </c:pt>
                <c:pt idx="2">
                  <c:v>96</c:v>
                </c:pt>
              </c:numCache>
            </c:numRef>
          </c:val>
        </c:ser>
        <c:dLbls>
          <c:showVal val="1"/>
        </c:dLbls>
        <c:firstSliceAng val="0"/>
        <c:holeSize val="67"/>
      </c:doughnutChart>
      <c:spPr>
        <a:scene3d>
          <a:camera prst="orthographicFront"/>
          <a:lightRig rig="threePt" dir="t"/>
        </a:scene3d>
        <a:sp3d>
          <a:bevelT w="190500" h="38100"/>
        </a:sp3d>
      </c:spPr>
    </c:plotArea>
    <c:legend>
      <c:legendPos val="r"/>
      <c:layout>
        <c:manualLayout>
          <c:xMode val="edge"/>
          <c:yMode val="edge"/>
          <c:x val="0.44690083456706031"/>
          <c:y val="0.40515640114121232"/>
          <c:w val="0.54190574763845389"/>
          <c:h val="0.47927409447498881"/>
        </c:manualLayout>
      </c:layout>
      <c:txPr>
        <a:bodyPr/>
        <a:lstStyle/>
        <a:p>
          <a:pPr rtl="0">
            <a:defRPr sz="1200"/>
          </a:pPr>
          <a:endParaRPr lang="ru-RU"/>
        </a:p>
      </c:txPr>
    </c:legend>
    <c:plotVisOnly val="1"/>
    <c:dispBlanksAs val="zero"/>
  </c:chart>
  <c:txPr>
    <a:bodyPr/>
    <a:lstStyle/>
    <a:p>
      <a:pPr>
        <a:defRPr>
          <a:latin typeface="Times New Roman" pitchFamily="18" charset="0"/>
          <a:cs typeface="Times New Roman" pitchFamily="18" charset="0"/>
        </a:defRPr>
      </a:pPr>
      <a:endParaRPr lang="ru-RU"/>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title>
      <c:tx>
        <c:rich>
          <a:bodyPr/>
          <a:lstStyle/>
          <a:p>
            <a:pPr>
              <a:defRPr sz="1400"/>
            </a:pPr>
            <a:r>
              <a:rPr lang="ru-RU" sz="1400" b="1" i="0" u="none" strike="noStrike" baseline="0">
                <a:effectLst/>
              </a:rPr>
              <a:t>Выполнение мероприятий государственных программ </a:t>
            </a:r>
            <a:r>
              <a:rPr lang="ru-RU" sz="1400"/>
              <a:t>(К3)</a:t>
            </a:r>
          </a:p>
        </c:rich>
      </c:tx>
      <c:layout>
        <c:manualLayout>
          <c:xMode val="edge"/>
          <c:yMode val="edge"/>
          <c:x val="0.11790505217577858"/>
          <c:y val="3.0877057192047606E-2"/>
        </c:manualLayout>
      </c:layout>
    </c:title>
    <c:plotArea>
      <c:layout>
        <c:manualLayout>
          <c:layoutTarget val="inner"/>
          <c:xMode val="edge"/>
          <c:yMode val="edge"/>
          <c:x val="5.8669147846897224E-2"/>
          <c:y val="0.1720736438745136"/>
          <c:w val="0.35720681088386197"/>
          <c:h val="0.79489303297790215"/>
        </c:manualLayout>
      </c:layout>
      <c:doughnutChart>
        <c:varyColors val="1"/>
        <c:ser>
          <c:idx val="0"/>
          <c:order val="0"/>
          <c:spPr>
            <a:ln>
              <a:solidFill>
                <a:schemeClr val="tx1">
                  <a:lumMod val="65000"/>
                  <a:lumOff val="35000"/>
                </a:schemeClr>
              </a:solidFill>
            </a:ln>
          </c:spPr>
          <c:explosion val="5"/>
          <c:dLbls>
            <c:spPr>
              <a:solidFill>
                <a:schemeClr val="bg1"/>
              </a:solidFill>
              <a:ln>
                <a:solidFill>
                  <a:schemeClr val="tx1">
                    <a:lumMod val="65000"/>
                    <a:lumOff val="35000"/>
                  </a:schemeClr>
                </a:solidFill>
              </a:ln>
            </c:spPr>
            <c:txPr>
              <a:bodyPr/>
              <a:lstStyle/>
              <a:p>
                <a:pPr>
                  <a:defRPr sz="1100"/>
                </a:pPr>
                <a:endParaRPr lang="ru-RU"/>
              </a:p>
            </c:txPr>
            <c:showVal val="1"/>
            <c:showLeaderLines val="1"/>
          </c:dLbls>
          <c:cat>
            <c:strRef>
              <c:f>'4. Оценка'!$O$7:$Q$7</c:f>
              <c:strCache>
                <c:ptCount val="3"/>
                <c:pt idx="0">
                  <c:v>Да </c:v>
                </c:pt>
                <c:pt idx="1">
                  <c:v>Частично</c:v>
                </c:pt>
                <c:pt idx="2">
                  <c:v>Нет</c:v>
                </c:pt>
              </c:strCache>
            </c:strRef>
          </c:cat>
          <c:val>
            <c:numRef>
              <c:f>'4. Оценка'!$O$8:$Q$8</c:f>
            </c:numRef>
          </c:val>
        </c:ser>
        <c:ser>
          <c:idx val="1"/>
          <c:order val="1"/>
          <c:dPt>
            <c:idx val="0"/>
            <c:spPr>
              <a:solidFill>
                <a:srgbClr val="92D050"/>
              </a:solidFill>
            </c:spPr>
          </c:dPt>
          <c:dPt>
            <c:idx val="1"/>
            <c:spPr>
              <a:solidFill>
                <a:schemeClr val="tx2">
                  <a:lumMod val="60000"/>
                  <a:lumOff val="40000"/>
                </a:schemeClr>
              </a:solidFill>
            </c:spPr>
          </c:dPt>
          <c:dPt>
            <c:idx val="2"/>
            <c:spPr>
              <a:solidFill>
                <a:srgbClr val="EC3E3E"/>
              </a:solidFill>
            </c:spPr>
          </c:dPt>
          <c:dLbls>
            <c:spPr>
              <a:solidFill>
                <a:sysClr val="window" lastClr="FFFFFF"/>
              </a:solidFill>
              <a:ln>
                <a:solidFill>
                  <a:sysClr val="windowText" lastClr="000000"/>
                </a:solidFill>
              </a:ln>
            </c:spPr>
            <c:showVal val="1"/>
            <c:showLeaderLines val="1"/>
          </c:dLbls>
          <c:cat>
            <c:strRef>
              <c:f>'4. Оценка'!$O$7:$Q$7</c:f>
              <c:strCache>
                <c:ptCount val="3"/>
                <c:pt idx="0">
                  <c:v>Да </c:v>
                </c:pt>
                <c:pt idx="1">
                  <c:v>Частично</c:v>
                </c:pt>
                <c:pt idx="2">
                  <c:v>Нет</c:v>
                </c:pt>
              </c:strCache>
            </c:strRef>
          </c:cat>
          <c:val>
            <c:numRef>
              <c:f>'4. Оценка'!$O$9:$Q$9</c:f>
              <c:numCache>
                <c:formatCode>0</c:formatCode>
                <c:ptCount val="3"/>
                <c:pt idx="0">
                  <c:v>935</c:v>
                </c:pt>
                <c:pt idx="1">
                  <c:v>152</c:v>
                </c:pt>
                <c:pt idx="2">
                  <c:v>62</c:v>
                </c:pt>
              </c:numCache>
            </c:numRef>
          </c:val>
        </c:ser>
        <c:dLbls>
          <c:showVal val="1"/>
        </c:dLbls>
        <c:firstSliceAng val="0"/>
        <c:holeSize val="67"/>
      </c:doughnutChart>
      <c:spPr>
        <a:scene3d>
          <a:camera prst="orthographicFront"/>
          <a:lightRig rig="threePt" dir="t"/>
        </a:scene3d>
        <a:sp3d>
          <a:bevelT w="190500" h="38100"/>
        </a:sp3d>
      </c:spPr>
    </c:plotArea>
    <c:legend>
      <c:legendPos val="r"/>
      <c:layout>
        <c:manualLayout>
          <c:xMode val="edge"/>
          <c:yMode val="edge"/>
          <c:x val="0.44690083456706031"/>
          <c:y val="0.1645252560141465"/>
          <c:w val="0.18471784776903036"/>
          <c:h val="0.46339733078714351"/>
        </c:manualLayout>
      </c:layout>
      <c:txPr>
        <a:bodyPr/>
        <a:lstStyle/>
        <a:p>
          <a:pPr rtl="0">
            <a:defRPr sz="1200"/>
          </a:pPr>
          <a:endParaRPr lang="ru-RU"/>
        </a:p>
      </c:txPr>
    </c:legend>
    <c:plotVisOnly val="1"/>
    <c:dispBlanksAs val="zero"/>
  </c:chart>
  <c:txPr>
    <a:bodyPr/>
    <a:lstStyle/>
    <a:p>
      <a:pPr>
        <a:defRPr>
          <a:latin typeface="Times New Roman" pitchFamily="18" charset="0"/>
          <a:cs typeface="Times New Roman" pitchFamily="18" charset="0"/>
        </a:defRPr>
      </a:pPr>
      <a:endParaRPr lang="ru-RU"/>
    </a:p>
  </c:txPr>
  <c:externalData r:id="rId2"/>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title>
      <c:tx>
        <c:rich>
          <a:bodyPr/>
          <a:lstStyle/>
          <a:p>
            <a:pPr>
              <a:defRPr sz="1400" b="1" i="0" u="none" strike="noStrike" baseline="0">
                <a:solidFill>
                  <a:srgbClr val="000000"/>
                </a:solidFill>
                <a:latin typeface="Times New Roman"/>
                <a:ea typeface="Times New Roman"/>
                <a:cs typeface="Times New Roman"/>
              </a:defRPr>
            </a:pPr>
            <a:r>
              <a:rPr lang="ru-RU"/>
              <a:t>Информация о ходе работ на объектах капитального строительства</a:t>
            </a:r>
          </a:p>
        </c:rich>
      </c:tx>
      <c:spPr>
        <a:noFill/>
        <a:ln w="25400">
          <a:noFill/>
        </a:ln>
      </c:spPr>
    </c:title>
    <c:plotArea>
      <c:layout/>
      <c:pieChart>
        <c:varyColors val="1"/>
        <c:ser>
          <c:idx val="0"/>
          <c:order val="0"/>
          <c:tx>
            <c:strRef>
              <c:f>'[Диаграмма в Отчет по ГП за 2019 год_ИТОГ]Лист1'!$B$1</c:f>
              <c:strCache>
                <c:ptCount val="1"/>
                <c:pt idx="0">
                  <c:v>Столбец2</c:v>
                </c:pt>
              </c:strCache>
            </c:strRef>
          </c:tx>
          <c:dPt>
            <c:idx val="0"/>
            <c:spPr>
              <a:solidFill>
                <a:srgbClr val="00B050"/>
              </a:solidFill>
              <a:ln w="19050">
                <a:solidFill>
                  <a:schemeClr val="lt1"/>
                </a:solidFill>
              </a:ln>
              <a:effectLst/>
            </c:spPr>
          </c:dPt>
          <c:dPt>
            <c:idx val="1"/>
            <c:spPr>
              <a:solidFill>
                <a:srgbClr val="92D050"/>
              </a:solidFill>
              <a:ln w="19050">
                <a:solidFill>
                  <a:schemeClr val="lt1"/>
                </a:solidFill>
              </a:ln>
              <a:effectLst/>
            </c:spPr>
          </c:dPt>
          <c:dPt>
            <c:idx val="2"/>
            <c:spPr>
              <a:solidFill>
                <a:srgbClr val="FFFF00"/>
              </a:solidFill>
              <a:ln w="19050">
                <a:solidFill>
                  <a:schemeClr val="lt1"/>
                </a:solidFill>
              </a:ln>
              <a:effectLst/>
            </c:spPr>
          </c:dPt>
          <c:dPt>
            <c:idx val="3"/>
            <c:spPr>
              <a:solidFill>
                <a:srgbClr val="FF0000"/>
              </a:solidFill>
              <a:ln w="19050">
                <a:solidFill>
                  <a:schemeClr val="lt1"/>
                </a:solidFill>
              </a:ln>
              <a:effectLst/>
            </c:spPr>
          </c:dPt>
          <c:dLbls>
            <c:dLbl>
              <c:idx val="0"/>
              <c:layout>
                <c:manualLayout>
                  <c:x val="-0.1170815132207414"/>
                  <c:y val="0.17233821232468638"/>
                </c:manualLayout>
              </c:layout>
              <c:tx>
                <c:rich>
                  <a:bodyPr/>
                  <a:lstStyle/>
                  <a:p>
                    <a:r>
                      <a:rPr lang="ru-RU"/>
                      <a:t>Работы</a:t>
                    </a:r>
                  </a:p>
                  <a:p>
                    <a:r>
                      <a:rPr lang="ru-RU"/>
                      <a:t> завершены
(11 объектов)</a:t>
                    </a:r>
                  </a:p>
                </c:rich>
              </c:tx>
              <c:dLblPos val="bestFit"/>
              <c:showCatName val="1"/>
            </c:dLbl>
            <c:dLbl>
              <c:idx val="3"/>
              <c:layout>
                <c:manualLayout>
                  <c:x val="-0.14052183581219199"/>
                  <c:y val="5.4814398200225427E-2"/>
                </c:manualLayout>
              </c:layout>
              <c:dLblPos val="bestFit"/>
              <c:showCatName val="1"/>
            </c:dLbl>
            <c:spPr>
              <a:noFill/>
              <a:ln w="25400">
                <a:noFill/>
              </a:ln>
            </c:spPr>
            <c:txPr>
              <a:bodyPr/>
              <a:lstStyle/>
              <a:p>
                <a:pPr>
                  <a:defRPr sz="900" b="0" i="0" u="none" strike="noStrike" baseline="0">
                    <a:solidFill>
                      <a:srgbClr val="000000"/>
                    </a:solidFill>
                    <a:latin typeface="Times New Roman"/>
                    <a:ea typeface="Times New Roman"/>
                    <a:cs typeface="Times New Roman"/>
                  </a:defRPr>
                </a:pPr>
                <a:endParaRPr lang="ru-RU"/>
              </a:p>
            </c:txPr>
            <c:showCatName val="1"/>
            <c:showLeaderLines val="1"/>
            <c:leaderLines>
              <c:spPr>
                <a:ln w="9525" cap="flat" cmpd="sng" algn="ctr">
                  <a:solidFill>
                    <a:schemeClr val="tx1">
                      <a:lumMod val="35000"/>
                      <a:lumOff val="65000"/>
                    </a:schemeClr>
                  </a:solidFill>
                  <a:round/>
                </a:ln>
                <a:effectLst/>
              </c:spPr>
            </c:leaderLines>
          </c:dLbls>
          <c:cat>
            <c:strRef>
              <c:f>'[Диаграмма в Отчет по ГП за 2019 год_ИТОГ]Лист1'!$A$2:$A$5</c:f>
              <c:strCache>
                <c:ptCount val="4"/>
                <c:pt idx="0">
                  <c:v>Работы завершены
(11 объектов)</c:v>
                </c:pt>
                <c:pt idx="1">
                  <c:v>Работы выполнялись в соответствии с графиком 
(15 объектов)</c:v>
                </c:pt>
                <c:pt idx="2">
                  <c:v>Работы выполнялись с отставанием от графика 
(16 объектов)</c:v>
                </c:pt>
                <c:pt idx="3">
                  <c:v>Работы не проводились 
(3 объекта)</c:v>
                </c:pt>
              </c:strCache>
            </c:strRef>
          </c:cat>
          <c:val>
            <c:numRef>
              <c:f>'[Диаграмма в Отчет по ГП за 2019 год_ИТОГ]Лист1'!$B$2:$B$5</c:f>
              <c:numCache>
                <c:formatCode>General</c:formatCode>
                <c:ptCount val="4"/>
                <c:pt idx="0">
                  <c:v>11</c:v>
                </c:pt>
                <c:pt idx="1">
                  <c:v>15</c:v>
                </c:pt>
                <c:pt idx="2">
                  <c:v>16</c:v>
                </c:pt>
                <c:pt idx="3">
                  <c:v>3</c:v>
                </c:pt>
              </c:numCache>
            </c:numRef>
          </c:val>
        </c:ser>
        <c:firstSliceAng val="0"/>
      </c:pieChart>
      <c:spPr>
        <a:noFill/>
        <a:ln w="25400">
          <a:noFill/>
        </a:ln>
      </c:spPr>
    </c:plotArea>
    <c:plotVisOnly val="1"/>
    <c:dispBlanksAs val="zero"/>
  </c:chart>
  <c:spPr>
    <a:solidFill>
      <a:schemeClr val="bg1"/>
    </a:solidFill>
    <a:ln w="9525" cap="flat" cmpd="sng" algn="ctr">
      <a:solidFill>
        <a:schemeClr val="tx1">
          <a:lumMod val="15000"/>
          <a:lumOff val="85000"/>
        </a:schemeClr>
      </a:solidFill>
      <a:round/>
    </a:ln>
    <a:effectLst/>
  </c:spPr>
  <c:txPr>
    <a:bodyPr/>
    <a:lstStyle/>
    <a:p>
      <a:pPr>
        <a:defRPr sz="1000" b="0" i="0" u="none" strike="noStrike" baseline="0">
          <a:solidFill>
            <a:srgbClr val="000000"/>
          </a:solidFill>
          <a:latin typeface="Calibri"/>
          <a:ea typeface="Calibri"/>
          <a:cs typeface="Calibri"/>
        </a:defRPr>
      </a:pPr>
      <a:endParaRPr lang="ru-RU"/>
    </a:p>
  </c:txPr>
  <c:externalData r:id="rId2"/>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title>
      <c:tx>
        <c:rich>
          <a:bodyPr/>
          <a:lstStyle/>
          <a:p>
            <a:pPr>
              <a:defRPr>
                <a:latin typeface="Times New Roman" panose="02020603050405020304" pitchFamily="18" charset="0"/>
                <a:cs typeface="Times New Roman" panose="02020603050405020304" pitchFamily="18" charset="0"/>
              </a:defRPr>
            </a:pPr>
            <a:r>
              <a:rPr lang="ru-RU">
                <a:latin typeface="Times New Roman" panose="02020603050405020304" pitchFamily="18" charset="0"/>
                <a:cs typeface="Times New Roman" panose="02020603050405020304" pitchFamily="18" charset="0"/>
              </a:rPr>
              <a:t>Исполнение государственных программ по источникам финансирования</a:t>
            </a:r>
          </a:p>
        </c:rich>
      </c:tx>
      <c:layout>
        <c:manualLayout>
          <c:xMode val="edge"/>
          <c:yMode val="edge"/>
          <c:x val="0.24518454445742538"/>
          <c:y val="6.0156365410075956E-2"/>
        </c:manualLayout>
      </c:layout>
    </c:title>
    <c:plotArea>
      <c:layout>
        <c:manualLayout>
          <c:layoutTarget val="inner"/>
          <c:xMode val="edge"/>
          <c:yMode val="edge"/>
          <c:x val="4.8392880285008676E-2"/>
          <c:y val="0.17544354627511921"/>
          <c:w val="0.92613711948326349"/>
          <c:h val="0.62787233615274085"/>
        </c:manualLayout>
      </c:layout>
      <c:barChart>
        <c:barDir val="col"/>
        <c:grouping val="stacked"/>
        <c:ser>
          <c:idx val="0"/>
          <c:order val="0"/>
          <c:tx>
            <c:strRef>
              <c:f>Лист1!$B$1</c:f>
              <c:strCache>
                <c:ptCount val="1"/>
                <c:pt idx="0">
                  <c:v>ОБ</c:v>
                </c:pt>
              </c:strCache>
            </c:strRef>
          </c:tx>
          <c:spPr>
            <a:solidFill>
              <a:schemeClr val="accent4">
                <a:lumMod val="60000"/>
                <a:lumOff val="40000"/>
              </a:schemeClr>
            </a:solidFill>
            <a:ln>
              <a:solidFill>
                <a:sysClr val="window" lastClr="FFFFFF">
                  <a:lumMod val="65000"/>
                </a:sysClr>
              </a:solidFill>
            </a:ln>
          </c:spPr>
          <c:dLbls>
            <c:dLbl>
              <c:idx val="0"/>
              <c:tx>
                <c:rich>
                  <a:bodyPr/>
                  <a:lstStyle/>
                  <a:p>
                    <a:r>
                      <a:rPr lang="ru-RU"/>
                      <a:t>ОБ </a:t>
                    </a:r>
                    <a:r>
                      <a:rPr lang="en-US"/>
                      <a:t>12 840,4</a:t>
                    </a:r>
                  </a:p>
                </c:rich>
              </c:tx>
              <c:showVal val="1"/>
            </c:dLbl>
            <c:dLbl>
              <c:idx val="1"/>
              <c:tx>
                <c:rich>
                  <a:bodyPr/>
                  <a:lstStyle/>
                  <a:p>
                    <a:r>
                      <a:rPr lang="ru-RU"/>
                      <a:t>ОБ </a:t>
                    </a:r>
                    <a:r>
                      <a:rPr lang="en-US"/>
                      <a:t>16 376,7</a:t>
                    </a:r>
                  </a:p>
                </c:rich>
              </c:tx>
              <c:showVal val="1"/>
            </c:dLbl>
            <c:dLbl>
              <c:idx val="2"/>
              <c:tx>
                <c:rich>
                  <a:bodyPr/>
                  <a:lstStyle/>
                  <a:p>
                    <a:r>
                      <a:rPr lang="ru-RU"/>
                      <a:t>ОБ </a:t>
                    </a:r>
                    <a:r>
                      <a:rPr lang="en-US"/>
                      <a:t>11 321,2</a:t>
                    </a:r>
                  </a:p>
                </c:rich>
              </c:tx>
              <c:showVal val="1"/>
            </c:dLbl>
            <c:dLbl>
              <c:idx val="3"/>
              <c:tx>
                <c:rich>
                  <a:bodyPr/>
                  <a:lstStyle/>
                  <a:p>
                    <a:r>
                      <a:rPr lang="ru-RU"/>
                      <a:t>ОБ </a:t>
                    </a:r>
                    <a:r>
                      <a:rPr lang="en-US"/>
                      <a:t>12 150,6</a:t>
                    </a:r>
                  </a:p>
                </c:rich>
              </c:tx>
              <c:showVal val="1"/>
            </c:dLbl>
            <c:dLbl>
              <c:idx val="4"/>
              <c:tx>
                <c:rich>
                  <a:bodyPr/>
                  <a:lstStyle/>
                  <a:p>
                    <a:r>
                      <a:rPr lang="ru-RU"/>
                      <a:t>ОБ </a:t>
                    </a:r>
                    <a:r>
                      <a:rPr lang="en-US"/>
                      <a:t>5 006,4</a:t>
                    </a:r>
                  </a:p>
                </c:rich>
              </c:tx>
              <c:showVal val="1"/>
            </c:dLbl>
            <c:showVal val="1"/>
          </c:dLbls>
          <c:cat>
            <c:strRef>
              <c:f>Лист1!$A$2:$A$6</c:f>
              <c:strCache>
                <c:ptCount val="5"/>
                <c:pt idx="0">
                  <c:v>Развитие здравоохранения</c:v>
                </c:pt>
                <c:pt idx="1">
                  <c:v>Развитие образования</c:v>
                </c:pt>
                <c:pt idx="2">
                  <c:v>Социальная поддержка граждан</c:v>
                </c:pt>
                <c:pt idx="3">
                  <c:v>Обеспечение комфортной среды проживания населения</c:v>
                </c:pt>
                <c:pt idx="4">
                  <c:v>Управление региональными финансами</c:v>
                </c:pt>
              </c:strCache>
            </c:strRef>
          </c:cat>
          <c:val>
            <c:numRef>
              <c:f>Лист1!$B$2:$B$6</c:f>
              <c:numCache>
                <c:formatCode>#,##0.0</c:formatCode>
                <c:ptCount val="5"/>
                <c:pt idx="0">
                  <c:v>12840.4</c:v>
                </c:pt>
                <c:pt idx="1">
                  <c:v>16376.7</c:v>
                </c:pt>
                <c:pt idx="2">
                  <c:v>11321.2</c:v>
                </c:pt>
                <c:pt idx="3">
                  <c:v>12150.6</c:v>
                </c:pt>
                <c:pt idx="4">
                  <c:v>5006.4000000000005</c:v>
                </c:pt>
              </c:numCache>
            </c:numRef>
          </c:val>
        </c:ser>
        <c:ser>
          <c:idx val="1"/>
          <c:order val="1"/>
          <c:tx>
            <c:strRef>
              <c:f>Лист1!$C$1</c:f>
              <c:strCache>
                <c:ptCount val="1"/>
                <c:pt idx="0">
                  <c:v>ФБ</c:v>
                </c:pt>
              </c:strCache>
            </c:strRef>
          </c:tx>
          <c:spPr>
            <a:solidFill>
              <a:srgbClr val="92D050"/>
            </a:solidFill>
            <a:ln>
              <a:solidFill>
                <a:sysClr val="window" lastClr="FFFFFF">
                  <a:lumMod val="65000"/>
                </a:sysClr>
              </a:solidFill>
            </a:ln>
          </c:spPr>
          <c:dLbls>
            <c:dLbl>
              <c:idx val="0"/>
              <c:tx>
                <c:rich>
                  <a:bodyPr/>
                  <a:lstStyle/>
                  <a:p>
                    <a:r>
                      <a:rPr lang="ru-RU"/>
                      <a:t>ФБ </a:t>
                    </a:r>
                    <a:r>
                      <a:rPr lang="en-US"/>
                      <a:t>1 288,8</a:t>
                    </a:r>
                  </a:p>
                </c:rich>
              </c:tx>
              <c:showVal val="1"/>
            </c:dLbl>
            <c:dLbl>
              <c:idx val="1"/>
              <c:layout>
                <c:manualLayout>
                  <c:x val="-1.491201908738444E-3"/>
                  <c:y val="2.772322975626661E-2"/>
                </c:manualLayout>
              </c:layout>
              <c:tx>
                <c:rich>
                  <a:bodyPr/>
                  <a:lstStyle/>
                  <a:p>
                    <a:r>
                      <a:rPr lang="ru-RU"/>
                      <a:t>ФБ </a:t>
                    </a:r>
                    <a:r>
                      <a:rPr lang="en-US"/>
                      <a:t>405,9</a:t>
                    </a:r>
                  </a:p>
                </c:rich>
              </c:tx>
              <c:showVal val="1"/>
            </c:dLbl>
            <c:dLbl>
              <c:idx val="2"/>
              <c:tx>
                <c:rich>
                  <a:bodyPr/>
                  <a:lstStyle/>
                  <a:p>
                    <a:r>
                      <a:rPr lang="ru-RU"/>
                      <a:t>ФБ </a:t>
                    </a:r>
                    <a:r>
                      <a:rPr lang="en-US"/>
                      <a:t>2 132,7</a:t>
                    </a:r>
                  </a:p>
                </c:rich>
              </c:tx>
              <c:showVal val="1"/>
            </c:dLbl>
            <c:dLbl>
              <c:idx val="3"/>
              <c:layout>
                <c:manualLayout>
                  <c:x val="0"/>
                  <c:y val="2.772322975626669E-2"/>
                </c:manualLayout>
              </c:layout>
              <c:tx>
                <c:rich>
                  <a:bodyPr/>
                  <a:lstStyle/>
                  <a:p>
                    <a:r>
                      <a:rPr lang="ru-RU"/>
                      <a:t>ФБ </a:t>
                    </a:r>
                    <a:r>
                      <a:rPr lang="en-US"/>
                      <a:t>392,6</a:t>
                    </a:r>
                  </a:p>
                </c:rich>
              </c:tx>
              <c:showVal val="1"/>
            </c:dLbl>
            <c:dLbl>
              <c:idx val="4"/>
              <c:tx>
                <c:rich>
                  <a:bodyPr/>
                  <a:lstStyle/>
                  <a:p>
                    <a:r>
                      <a:rPr lang="ru-RU"/>
                      <a:t>ФБ </a:t>
                    </a:r>
                    <a:r>
                      <a:rPr lang="en-US"/>
                      <a:t>1 506,9</a:t>
                    </a:r>
                  </a:p>
                </c:rich>
              </c:tx>
              <c:showVal val="1"/>
            </c:dLbl>
            <c:showVal val="1"/>
          </c:dLbls>
          <c:cat>
            <c:strRef>
              <c:f>Лист1!$A$2:$A$6</c:f>
              <c:strCache>
                <c:ptCount val="5"/>
                <c:pt idx="0">
                  <c:v>Развитие здравоохранения</c:v>
                </c:pt>
                <c:pt idx="1">
                  <c:v>Развитие образования</c:v>
                </c:pt>
                <c:pt idx="2">
                  <c:v>Социальная поддержка граждан</c:v>
                </c:pt>
                <c:pt idx="3">
                  <c:v>Обеспечение комфортной среды проживания населения</c:v>
                </c:pt>
                <c:pt idx="4">
                  <c:v>Управление региональными финансами</c:v>
                </c:pt>
              </c:strCache>
            </c:strRef>
          </c:cat>
          <c:val>
            <c:numRef>
              <c:f>Лист1!$C$2:$C$6</c:f>
              <c:numCache>
                <c:formatCode>#,##0.0</c:formatCode>
                <c:ptCount val="5"/>
                <c:pt idx="0">
                  <c:v>1288.8</c:v>
                </c:pt>
                <c:pt idx="1">
                  <c:v>405.9</c:v>
                </c:pt>
                <c:pt idx="2">
                  <c:v>2132.6999999999998</c:v>
                </c:pt>
                <c:pt idx="3">
                  <c:v>392.6</c:v>
                </c:pt>
                <c:pt idx="4">
                  <c:v>1506.9</c:v>
                </c:pt>
              </c:numCache>
            </c:numRef>
          </c:val>
        </c:ser>
        <c:ser>
          <c:idx val="2"/>
          <c:order val="2"/>
          <c:tx>
            <c:strRef>
              <c:f>Лист1!$D$1</c:f>
              <c:strCache>
                <c:ptCount val="1"/>
                <c:pt idx="0">
                  <c:v>МБ</c:v>
                </c:pt>
              </c:strCache>
            </c:strRef>
          </c:tx>
          <c:spPr>
            <a:solidFill>
              <a:srgbClr val="00B0F0"/>
            </a:solidFill>
            <a:ln>
              <a:solidFill>
                <a:sysClr val="window" lastClr="FFFFFF">
                  <a:lumMod val="65000"/>
                </a:sysClr>
              </a:solidFill>
            </a:ln>
          </c:spPr>
          <c:cat>
            <c:strRef>
              <c:f>Лист1!$A$2:$A$6</c:f>
              <c:strCache>
                <c:ptCount val="5"/>
                <c:pt idx="0">
                  <c:v>Развитие здравоохранения</c:v>
                </c:pt>
                <c:pt idx="1">
                  <c:v>Развитие образования</c:v>
                </c:pt>
                <c:pt idx="2">
                  <c:v>Социальная поддержка граждан</c:v>
                </c:pt>
                <c:pt idx="3">
                  <c:v>Обеспечение комфортной среды проживания населения</c:v>
                </c:pt>
                <c:pt idx="4">
                  <c:v>Управление региональными финансами</c:v>
                </c:pt>
              </c:strCache>
            </c:strRef>
          </c:cat>
          <c:val>
            <c:numRef>
              <c:f>Лист1!$D$2:$D$6</c:f>
              <c:numCache>
                <c:formatCode>#,##0.0</c:formatCode>
                <c:ptCount val="5"/>
                <c:pt idx="0">
                  <c:v>0</c:v>
                </c:pt>
                <c:pt idx="1">
                  <c:v>124.9</c:v>
                </c:pt>
                <c:pt idx="2">
                  <c:v>0</c:v>
                </c:pt>
                <c:pt idx="3">
                  <c:v>72.599999999999994</c:v>
                </c:pt>
                <c:pt idx="4">
                  <c:v>0</c:v>
                </c:pt>
              </c:numCache>
            </c:numRef>
          </c:val>
        </c:ser>
        <c:ser>
          <c:idx val="3"/>
          <c:order val="3"/>
          <c:tx>
            <c:strRef>
              <c:f>Лист1!$E$1</c:f>
              <c:strCache>
                <c:ptCount val="1"/>
                <c:pt idx="0">
                  <c:v>ВБС</c:v>
                </c:pt>
              </c:strCache>
            </c:strRef>
          </c:tx>
          <c:spPr>
            <a:solidFill>
              <a:srgbClr val="FFC000"/>
            </a:solidFill>
            <a:ln>
              <a:solidFill>
                <a:schemeClr val="bg1">
                  <a:lumMod val="65000"/>
                </a:schemeClr>
              </a:solidFill>
            </a:ln>
          </c:spPr>
          <c:dLbls>
            <c:dLbl>
              <c:idx val="0"/>
              <c:tx>
                <c:rich>
                  <a:bodyPr/>
                  <a:lstStyle/>
                  <a:p>
                    <a:r>
                      <a:rPr lang="ru-RU"/>
                      <a:t>ВБС </a:t>
                    </a:r>
                    <a:r>
                      <a:rPr lang="en-US"/>
                      <a:t>16 245,3</a:t>
                    </a:r>
                  </a:p>
                </c:rich>
              </c:tx>
              <c:showVal val="1"/>
            </c:dLbl>
            <c:dLbl>
              <c:idx val="1"/>
              <c:delete val="1"/>
            </c:dLbl>
            <c:dLbl>
              <c:idx val="2"/>
              <c:layout>
                <c:manualLayout>
                  <c:x val="1.4910844912653161E-3"/>
                  <c:y val="-4.6205382927111009E-2"/>
                </c:manualLayout>
              </c:layout>
              <c:tx>
                <c:rich>
                  <a:bodyPr/>
                  <a:lstStyle/>
                  <a:p>
                    <a:r>
                      <a:rPr lang="ru-RU"/>
                      <a:t>ВБС </a:t>
                    </a:r>
                    <a:r>
                      <a:rPr lang="en-US"/>
                      <a:t>184,6</a:t>
                    </a:r>
                  </a:p>
                </c:rich>
              </c:tx>
              <c:showVal val="1"/>
            </c:dLbl>
            <c:dLbl>
              <c:idx val="3"/>
              <c:layout>
                <c:manualLayout>
                  <c:x val="2.9824038174768872E-3"/>
                  <c:y val="-4.3895113780755446E-2"/>
                </c:manualLayout>
              </c:layout>
              <c:tx>
                <c:rich>
                  <a:bodyPr/>
                  <a:lstStyle/>
                  <a:p>
                    <a:r>
                      <a:rPr lang="ru-RU"/>
                      <a:t>ВБС </a:t>
                    </a:r>
                    <a:r>
                      <a:rPr lang="en-US"/>
                      <a:t>156,8</a:t>
                    </a:r>
                  </a:p>
                </c:rich>
              </c:tx>
              <c:showVal val="1"/>
            </c:dLbl>
            <c:dLbl>
              <c:idx val="4"/>
              <c:delete val="1"/>
            </c:dLbl>
            <c:showVal val="1"/>
          </c:dLbls>
          <c:cat>
            <c:strRef>
              <c:f>Лист1!$A$2:$A$6</c:f>
              <c:strCache>
                <c:ptCount val="5"/>
                <c:pt idx="0">
                  <c:v>Развитие здравоохранения</c:v>
                </c:pt>
                <c:pt idx="1">
                  <c:v>Развитие образования</c:v>
                </c:pt>
                <c:pt idx="2">
                  <c:v>Социальная поддержка граждан</c:v>
                </c:pt>
                <c:pt idx="3">
                  <c:v>Обеспечение комфортной среды проживания населения</c:v>
                </c:pt>
                <c:pt idx="4">
                  <c:v>Управление региональными финансами</c:v>
                </c:pt>
              </c:strCache>
            </c:strRef>
          </c:cat>
          <c:val>
            <c:numRef>
              <c:f>Лист1!$E$2:$E$6</c:f>
              <c:numCache>
                <c:formatCode>#,##0.0</c:formatCode>
                <c:ptCount val="5"/>
                <c:pt idx="0">
                  <c:v>16245.3</c:v>
                </c:pt>
                <c:pt idx="1">
                  <c:v>0</c:v>
                </c:pt>
                <c:pt idx="2">
                  <c:v>184.6</c:v>
                </c:pt>
                <c:pt idx="3">
                  <c:v>156.80000000000001</c:v>
                </c:pt>
                <c:pt idx="4">
                  <c:v>0</c:v>
                </c:pt>
              </c:numCache>
            </c:numRef>
          </c:val>
        </c:ser>
        <c:gapWidth val="55"/>
        <c:overlap val="100"/>
        <c:axId val="91690112"/>
        <c:axId val="91691648"/>
      </c:barChart>
      <c:lineChart>
        <c:grouping val="standard"/>
        <c:ser>
          <c:idx val="4"/>
          <c:order val="4"/>
          <c:tx>
            <c:strRef>
              <c:f>Лист1!$F$1</c:f>
              <c:strCache>
                <c:ptCount val="1"/>
                <c:pt idx="0">
                  <c:v>План</c:v>
                </c:pt>
              </c:strCache>
            </c:strRef>
          </c:tx>
          <c:marker>
            <c:symbol val="none"/>
          </c:marker>
          <c:cat>
            <c:strRef>
              <c:f>Лист1!$A$2:$A$6</c:f>
              <c:strCache>
                <c:ptCount val="5"/>
                <c:pt idx="0">
                  <c:v>Развитие здравоохранения</c:v>
                </c:pt>
                <c:pt idx="1">
                  <c:v>Развитие образования</c:v>
                </c:pt>
                <c:pt idx="2">
                  <c:v>Социальная поддержка граждан</c:v>
                </c:pt>
                <c:pt idx="3">
                  <c:v>Обеспечение комфортной среды проживания населения</c:v>
                </c:pt>
                <c:pt idx="4">
                  <c:v>Управление региональными финансами</c:v>
                </c:pt>
              </c:strCache>
            </c:strRef>
          </c:cat>
          <c:val>
            <c:numRef>
              <c:f>Лист1!$F$2:$F$6</c:f>
              <c:numCache>
                <c:formatCode>#,##0.0</c:formatCode>
                <c:ptCount val="5"/>
                <c:pt idx="0">
                  <c:v>31053.4</c:v>
                </c:pt>
                <c:pt idx="1">
                  <c:v>16401.900000000001</c:v>
                </c:pt>
                <c:pt idx="2">
                  <c:v>14029.9</c:v>
                </c:pt>
                <c:pt idx="3">
                  <c:v>14275.9</c:v>
                </c:pt>
                <c:pt idx="4">
                  <c:v>6615.7</c:v>
                </c:pt>
              </c:numCache>
            </c:numRef>
          </c:val>
        </c:ser>
        <c:ser>
          <c:idx val="5"/>
          <c:order val="5"/>
          <c:tx>
            <c:strRef>
              <c:f>Лист1!$G$1</c:f>
              <c:strCache>
                <c:ptCount val="1"/>
                <c:pt idx="0">
                  <c:v>Всего расходов</c:v>
                </c:pt>
              </c:strCache>
            </c:strRef>
          </c:tx>
          <c:spPr>
            <a:ln>
              <a:solidFill>
                <a:srgbClr val="FF0000"/>
              </a:solidFill>
            </a:ln>
          </c:spPr>
          <c:marker>
            <c:spPr>
              <a:solidFill>
                <a:srgbClr val="FF0000"/>
              </a:solidFill>
            </c:spPr>
          </c:marker>
          <c:dLbls>
            <c:dLbl>
              <c:idx val="0"/>
              <c:layout>
                <c:manualLayout>
                  <c:x val="2.9824038174768872E-3"/>
                  <c:y val="-1.386161487813326E-2"/>
                </c:manualLayout>
              </c:layout>
              <c:showVal val="1"/>
            </c:dLbl>
            <c:dLbl>
              <c:idx val="1"/>
              <c:layout>
                <c:manualLayout>
                  <c:x val="0"/>
                  <c:y val="-1.8482153170844402E-2"/>
                </c:manualLayout>
              </c:layout>
              <c:showVal val="1"/>
            </c:dLbl>
            <c:dLbl>
              <c:idx val="2"/>
              <c:layout>
                <c:manualLayout>
                  <c:x val="0"/>
                  <c:y val="-2.3102691463555505E-2"/>
                </c:manualLayout>
              </c:layout>
              <c:showVal val="1"/>
            </c:dLbl>
            <c:dLbl>
              <c:idx val="3"/>
              <c:layout>
                <c:manualLayout>
                  <c:x val="4.4736057262153434E-3"/>
                  <c:y val="-9.2410765854222046E-3"/>
                </c:manualLayout>
              </c:layout>
              <c:showVal val="1"/>
            </c:dLbl>
            <c:dLbl>
              <c:idx val="4"/>
              <c:layout>
                <c:manualLayout>
                  <c:x val="0"/>
                  <c:y val="-2.772322975626661E-2"/>
                </c:manualLayout>
              </c:layout>
              <c:showVal val="1"/>
            </c:dLbl>
            <c:txPr>
              <a:bodyPr/>
              <a:lstStyle/>
              <a:p>
                <a:pPr>
                  <a:defRPr>
                    <a:solidFill>
                      <a:srgbClr val="FF0000"/>
                    </a:solidFill>
                  </a:defRPr>
                </a:pPr>
                <a:endParaRPr lang="ru-RU"/>
              </a:p>
            </c:txPr>
            <c:showVal val="1"/>
          </c:dLbls>
          <c:cat>
            <c:strRef>
              <c:f>Лист1!$A$2:$A$6</c:f>
              <c:strCache>
                <c:ptCount val="5"/>
                <c:pt idx="0">
                  <c:v>Развитие здравоохранения</c:v>
                </c:pt>
                <c:pt idx="1">
                  <c:v>Развитие образования</c:v>
                </c:pt>
                <c:pt idx="2">
                  <c:v>Социальная поддержка граждан</c:v>
                </c:pt>
                <c:pt idx="3">
                  <c:v>Обеспечение комфортной среды проживания населения</c:v>
                </c:pt>
                <c:pt idx="4">
                  <c:v>Управление региональными финансами</c:v>
                </c:pt>
              </c:strCache>
            </c:strRef>
          </c:cat>
          <c:val>
            <c:numRef>
              <c:f>Лист1!$G$2:$G$6</c:f>
              <c:numCache>
                <c:formatCode>#,##0.0</c:formatCode>
                <c:ptCount val="5"/>
                <c:pt idx="0">
                  <c:v>30374.5</c:v>
                </c:pt>
                <c:pt idx="1">
                  <c:v>16907.5</c:v>
                </c:pt>
                <c:pt idx="2">
                  <c:v>13638.5</c:v>
                </c:pt>
                <c:pt idx="3">
                  <c:v>12772.7</c:v>
                </c:pt>
                <c:pt idx="4">
                  <c:v>6513.3</c:v>
                </c:pt>
              </c:numCache>
            </c:numRef>
          </c:val>
        </c:ser>
        <c:marker val="1"/>
        <c:axId val="91690112"/>
        <c:axId val="91691648"/>
      </c:lineChart>
      <c:lineChart>
        <c:grouping val="stacked"/>
        <c:ser>
          <c:idx val="6"/>
          <c:order val="6"/>
          <c:tx>
            <c:strRef>
              <c:f>Лист1!$H$1</c:f>
              <c:strCache>
                <c:ptCount val="1"/>
                <c:pt idx="0">
                  <c:v>Степень освоения средств, %</c:v>
                </c:pt>
              </c:strCache>
            </c:strRef>
          </c:tx>
          <c:spPr>
            <a:ln>
              <a:noFill/>
            </a:ln>
          </c:spPr>
          <c:marker>
            <c:symbol val="diamond"/>
            <c:size val="6"/>
            <c:spPr>
              <a:solidFill>
                <a:srgbClr val="0070C0"/>
              </a:solidFill>
            </c:spPr>
          </c:marker>
          <c:dLbls>
            <c:dLbl>
              <c:idx val="0"/>
              <c:layout>
                <c:manualLayout>
                  <c:x val="-7.456009543692254E-3"/>
                  <c:y val="-3.9274575488044611E-2"/>
                </c:manualLayout>
              </c:layout>
              <c:showVal val="1"/>
            </c:dLbl>
            <c:dLbl>
              <c:idx val="1"/>
              <c:tx>
                <c:rich>
                  <a:bodyPr/>
                  <a:lstStyle/>
                  <a:p>
                    <a:r>
                      <a:rPr lang="en-US"/>
                      <a:t>103,1%</a:t>
                    </a:r>
                    <a:r>
                      <a:rPr lang="ru-RU"/>
                      <a:t>*</a:t>
                    </a:r>
                    <a:endParaRPr lang="en-US"/>
                  </a:p>
                </c:rich>
              </c:tx>
              <c:showVal val="1"/>
            </c:dLbl>
            <c:showVal val="1"/>
          </c:dLbls>
          <c:cat>
            <c:strRef>
              <c:f>Лист1!$A$2:$A$6</c:f>
              <c:strCache>
                <c:ptCount val="5"/>
                <c:pt idx="0">
                  <c:v>Развитие здравоохранения</c:v>
                </c:pt>
                <c:pt idx="1">
                  <c:v>Развитие образования</c:v>
                </c:pt>
                <c:pt idx="2">
                  <c:v>Социальная поддержка граждан</c:v>
                </c:pt>
                <c:pt idx="3">
                  <c:v>Обеспечение комфортной среды проживания населения</c:v>
                </c:pt>
                <c:pt idx="4">
                  <c:v>Управление региональными финансами</c:v>
                </c:pt>
              </c:strCache>
            </c:strRef>
          </c:cat>
          <c:val>
            <c:numRef>
              <c:f>Лист1!$H$2:$H$6</c:f>
              <c:numCache>
                <c:formatCode>0.0%</c:formatCode>
                <c:ptCount val="5"/>
                <c:pt idx="0">
                  <c:v>0.97800000000000065</c:v>
                </c:pt>
                <c:pt idx="1">
                  <c:v>1.0309999999999946</c:v>
                </c:pt>
                <c:pt idx="2">
                  <c:v>0.97200000000000064</c:v>
                </c:pt>
                <c:pt idx="3">
                  <c:v>0.89500000000000002</c:v>
                </c:pt>
                <c:pt idx="4">
                  <c:v>0.98499999999999999</c:v>
                </c:pt>
              </c:numCache>
            </c:numRef>
          </c:val>
        </c:ser>
        <c:marker val="1"/>
        <c:axId val="91702016"/>
        <c:axId val="91703552"/>
      </c:lineChart>
      <c:catAx>
        <c:axId val="91690112"/>
        <c:scaling>
          <c:orientation val="minMax"/>
        </c:scaling>
        <c:axPos val="b"/>
        <c:numFmt formatCode="General" sourceLinked="1"/>
        <c:majorTickMark val="none"/>
        <c:tickLblPos val="nextTo"/>
        <c:crossAx val="91691648"/>
        <c:crosses val="autoZero"/>
        <c:auto val="1"/>
        <c:lblAlgn val="ctr"/>
        <c:lblOffset val="100"/>
      </c:catAx>
      <c:valAx>
        <c:axId val="91691648"/>
        <c:scaling>
          <c:orientation val="minMax"/>
          <c:max val="40000"/>
        </c:scaling>
        <c:axPos val="l"/>
        <c:title>
          <c:tx>
            <c:rich>
              <a:bodyPr/>
              <a:lstStyle/>
              <a:p>
                <a:pPr>
                  <a:defRPr sz="1000" b="1" i="0" u="none" strike="noStrike" baseline="0">
                    <a:solidFill>
                      <a:srgbClr val="000000"/>
                    </a:solidFill>
                    <a:latin typeface="Calibri"/>
                    <a:ea typeface="Calibri"/>
                    <a:cs typeface="Calibri"/>
                  </a:defRPr>
                </a:pPr>
                <a:r>
                  <a:rPr lang="ru-RU"/>
                  <a:t>Млн.рублей</a:t>
                </a:r>
              </a:p>
            </c:rich>
          </c:tx>
        </c:title>
        <c:numFmt formatCode="#,##0.0" sourceLinked="1"/>
        <c:majorTickMark val="none"/>
        <c:tickLblPos val="none"/>
        <c:crossAx val="91690112"/>
        <c:crosses val="autoZero"/>
        <c:crossBetween val="between"/>
      </c:valAx>
      <c:catAx>
        <c:axId val="91702016"/>
        <c:scaling>
          <c:orientation val="minMax"/>
        </c:scaling>
        <c:delete val="1"/>
        <c:axPos val="b"/>
        <c:tickLblPos val="nextTo"/>
        <c:crossAx val="91703552"/>
        <c:crosses val="autoZero"/>
        <c:auto val="1"/>
        <c:lblAlgn val="ctr"/>
        <c:lblOffset val="100"/>
      </c:catAx>
      <c:valAx>
        <c:axId val="91703552"/>
        <c:scaling>
          <c:orientation val="minMax"/>
          <c:min val="0.70000000000000062"/>
        </c:scaling>
        <c:axPos val="r"/>
        <c:numFmt formatCode="0.0%" sourceLinked="1"/>
        <c:majorTickMark val="none"/>
        <c:tickLblPos val="none"/>
        <c:crossAx val="91702016"/>
        <c:crosses val="max"/>
        <c:crossBetween val="between"/>
      </c:valAx>
    </c:plotArea>
    <c:legend>
      <c:legendPos val="b"/>
      <c:layout>
        <c:manualLayout>
          <c:xMode val="edge"/>
          <c:yMode val="edge"/>
          <c:x val="6.5398620189464221E-3"/>
          <c:y val="0.91452079994425095"/>
          <c:w val="0.98256028868418621"/>
          <c:h val="7.1039509441850779E-2"/>
        </c:manualLayout>
      </c:layout>
    </c:legend>
    <c:plotVisOnly val="1"/>
    <c:dispBlanksAs val="zero"/>
  </c:chart>
  <c:txPr>
    <a:bodyPr/>
    <a:lstStyle/>
    <a:p>
      <a:pPr>
        <a:defRPr sz="1000">
          <a:latin typeface="+mn-lt"/>
        </a:defRPr>
      </a:pPr>
      <a:endParaRPr lang="ru-RU"/>
    </a:p>
  </c:txPr>
  <c:externalData r:id="rId2"/>
  <c:userShapes r:id="rId3"/>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title>
      <c:tx>
        <c:rich>
          <a:bodyPr/>
          <a:lstStyle/>
          <a:p>
            <a:pPr>
              <a:defRPr sz="999">
                <a:latin typeface="Times New Roman" pitchFamily="18" charset="0"/>
                <a:cs typeface="Times New Roman" pitchFamily="18" charset="0"/>
              </a:defRPr>
            </a:pPr>
            <a:r>
              <a:rPr lang="ru-RU" sz="999">
                <a:latin typeface="Times New Roman" pitchFamily="18" charset="0"/>
                <a:cs typeface="Times New Roman" pitchFamily="18" charset="0"/>
              </a:rPr>
              <a:t>Исполнение</a:t>
            </a:r>
            <a:r>
              <a:rPr lang="ru-RU" sz="999" baseline="0">
                <a:latin typeface="Times New Roman" pitchFamily="18" charset="0"/>
                <a:cs typeface="Times New Roman" pitchFamily="18" charset="0"/>
              </a:rPr>
              <a:t> государственных программ по источникам финансирования</a:t>
            </a:r>
            <a:endParaRPr lang="ru-RU" sz="1000">
              <a:latin typeface="Times New Roman" pitchFamily="18" charset="0"/>
              <a:cs typeface="Times New Roman" pitchFamily="18" charset="0"/>
            </a:endParaRPr>
          </a:p>
        </c:rich>
      </c:tx>
    </c:title>
    <c:plotArea>
      <c:layout>
        <c:manualLayout>
          <c:layoutTarget val="inner"/>
          <c:xMode val="edge"/>
          <c:yMode val="edge"/>
          <c:x val="7.3862858132280773E-2"/>
          <c:y val="5.8313979625807914E-2"/>
          <c:w val="0.92613711948326349"/>
          <c:h val="0.62090406900606521"/>
        </c:manualLayout>
      </c:layout>
      <c:barChart>
        <c:barDir val="col"/>
        <c:grouping val="stacked"/>
        <c:ser>
          <c:idx val="0"/>
          <c:order val="0"/>
          <c:tx>
            <c:strRef>
              <c:f>Лист1!$B$1</c:f>
              <c:strCache>
                <c:ptCount val="1"/>
                <c:pt idx="0">
                  <c:v>ОБ</c:v>
                </c:pt>
              </c:strCache>
            </c:strRef>
          </c:tx>
          <c:spPr>
            <a:solidFill>
              <a:schemeClr val="accent4">
                <a:lumMod val="60000"/>
                <a:lumOff val="40000"/>
              </a:schemeClr>
            </a:solidFill>
            <a:ln>
              <a:solidFill>
                <a:sysClr val="window" lastClr="FFFFFF">
                  <a:lumMod val="65000"/>
                </a:sysClr>
              </a:solidFill>
            </a:ln>
          </c:spPr>
          <c:dLbls>
            <c:dLbl>
              <c:idx val="0"/>
              <c:tx>
                <c:rich>
                  <a:bodyPr/>
                  <a:lstStyle/>
                  <a:p>
                    <a:pPr>
                      <a:defRPr/>
                    </a:pPr>
                    <a:r>
                      <a:rPr lang="ru-RU"/>
                      <a:t>ОБ </a:t>
                    </a:r>
                    <a:r>
                      <a:rPr lang="en-US"/>
                      <a:t>3764,6</a:t>
                    </a:r>
                  </a:p>
                </c:rich>
              </c:tx>
              <c:spPr/>
            </c:dLbl>
            <c:dLbl>
              <c:idx val="1"/>
              <c:tx>
                <c:rich>
                  <a:bodyPr/>
                  <a:lstStyle/>
                  <a:p>
                    <a:pPr>
                      <a:defRPr/>
                    </a:pPr>
                    <a:r>
                      <a:rPr lang="ru-RU"/>
                      <a:t>ОБ </a:t>
                    </a:r>
                    <a:r>
                      <a:rPr lang="en-US"/>
                      <a:t>1 286,4</a:t>
                    </a:r>
                  </a:p>
                </c:rich>
              </c:tx>
              <c:spPr/>
            </c:dLbl>
            <c:dLbl>
              <c:idx val="2"/>
              <c:tx>
                <c:rich>
                  <a:bodyPr/>
                  <a:lstStyle/>
                  <a:p>
                    <a:pPr>
                      <a:defRPr/>
                    </a:pPr>
                    <a:r>
                      <a:rPr lang="ru-RU"/>
                      <a:t>ОБ </a:t>
                    </a:r>
                    <a:r>
                      <a:rPr lang="en-US"/>
                      <a:t>1303,2</a:t>
                    </a:r>
                  </a:p>
                </c:rich>
              </c:tx>
              <c:spPr/>
            </c:dLbl>
            <c:dLbl>
              <c:idx val="3"/>
              <c:tx>
                <c:rich>
                  <a:bodyPr/>
                  <a:lstStyle/>
                  <a:p>
                    <a:pPr>
                      <a:defRPr/>
                    </a:pPr>
                    <a:r>
                      <a:rPr lang="ru-RU"/>
                      <a:t>ОБ </a:t>
                    </a:r>
                    <a:r>
                      <a:rPr lang="en-US"/>
                      <a:t>1 538,9</a:t>
                    </a:r>
                  </a:p>
                </c:rich>
              </c:tx>
              <c:spPr/>
            </c:dLbl>
            <c:dLbl>
              <c:idx val="4"/>
              <c:tx>
                <c:rich>
                  <a:bodyPr/>
                  <a:lstStyle/>
                  <a:p>
                    <a:pPr>
                      <a:defRPr/>
                    </a:pPr>
                    <a:r>
                      <a:rPr lang="ru-RU"/>
                      <a:t>ОБ </a:t>
                    </a:r>
                    <a:r>
                      <a:rPr lang="en-US"/>
                      <a:t>1136,9</a:t>
                    </a:r>
                  </a:p>
                </c:rich>
              </c:tx>
              <c:spPr/>
            </c:dLbl>
            <c:dLbl>
              <c:idx val="5"/>
              <c:tx>
                <c:rich>
                  <a:bodyPr/>
                  <a:lstStyle/>
                  <a:p>
                    <a:pPr>
                      <a:defRPr/>
                    </a:pPr>
                    <a:r>
                      <a:rPr lang="ru-RU"/>
                      <a:t>ОБ </a:t>
                    </a:r>
                    <a:r>
                      <a:rPr lang="en-US"/>
                      <a:t>389,9</a:t>
                    </a:r>
                  </a:p>
                </c:rich>
              </c:tx>
              <c:spPr/>
            </c:dLbl>
            <c:dLbl>
              <c:idx val="6"/>
              <c:tx>
                <c:rich>
                  <a:bodyPr/>
                  <a:lstStyle/>
                  <a:p>
                    <a:pPr>
                      <a:defRPr/>
                    </a:pPr>
                    <a:r>
                      <a:rPr lang="ru-RU"/>
                      <a:t>ОБ </a:t>
                    </a:r>
                    <a:r>
                      <a:rPr lang="en-US"/>
                      <a:t>518,7</a:t>
                    </a:r>
                  </a:p>
                </c:rich>
              </c:tx>
              <c:spPr/>
            </c:dLbl>
            <c:dLbl>
              <c:idx val="7"/>
              <c:tx>
                <c:rich>
                  <a:bodyPr/>
                  <a:lstStyle/>
                  <a:p>
                    <a:pPr>
                      <a:defRPr/>
                    </a:pPr>
                    <a:r>
                      <a:rPr lang="ru-RU"/>
                      <a:t>ОБ </a:t>
                    </a:r>
                    <a:r>
                      <a:rPr lang="en-US"/>
                      <a:t>305</a:t>
                    </a:r>
                  </a:p>
                </c:rich>
              </c:tx>
              <c:spPr/>
            </c:dLbl>
            <c:dLbl>
              <c:idx val="8"/>
              <c:tx>
                <c:rich>
                  <a:bodyPr/>
                  <a:lstStyle/>
                  <a:p>
                    <a:pPr>
                      <a:defRPr/>
                    </a:pPr>
                    <a:r>
                      <a:rPr lang="ru-RU"/>
                      <a:t>ОБ </a:t>
                    </a:r>
                    <a:r>
                      <a:rPr lang="en-US"/>
                      <a:t>272,7</a:t>
                    </a:r>
                  </a:p>
                </c:rich>
              </c:tx>
              <c:spPr/>
            </c:dLbl>
            <c:dLbl>
              <c:idx val="9"/>
              <c:tx>
                <c:rich>
                  <a:bodyPr/>
                  <a:lstStyle/>
                  <a:p>
                    <a:pPr>
                      <a:defRPr/>
                    </a:pPr>
                    <a:r>
                      <a:rPr lang="ru-RU"/>
                      <a:t>ОБ </a:t>
                    </a:r>
                    <a:r>
                      <a:rPr lang="en-US"/>
                      <a:t>459,8</a:t>
                    </a:r>
                  </a:p>
                </c:rich>
              </c:tx>
              <c:spPr/>
            </c:dLbl>
            <c:dLbl>
              <c:idx val="10"/>
              <c:tx>
                <c:rich>
                  <a:bodyPr/>
                  <a:lstStyle/>
                  <a:p>
                    <a:pPr>
                      <a:defRPr/>
                    </a:pPr>
                    <a:r>
                      <a:rPr lang="ru-RU"/>
                      <a:t>ОБ </a:t>
                    </a:r>
                    <a:r>
                      <a:rPr lang="en-US"/>
                      <a:t>152,3</a:t>
                    </a:r>
                  </a:p>
                </c:rich>
              </c:tx>
              <c:spPr/>
            </c:dLbl>
            <c:showVal val="1"/>
          </c:dLbls>
          <c:cat>
            <c:strRef>
              <c:f>Лист1!$A$2:$A$12</c:f>
              <c:strCache>
                <c:ptCount val="11"/>
                <c:pt idx="0">
                  <c:v>Развитие транспортной системы</c:v>
                </c:pt>
                <c:pt idx="1">
                  <c:v>Развитие физической культуры и спорта</c:v>
                </c:pt>
                <c:pt idx="2">
                  <c:v>Развитие культуры и сохранение культурного наследия</c:v>
                </c:pt>
                <c:pt idx="3">
                  <c:v>Обеспечение общественного порядка и безопасности населения</c:v>
                </c:pt>
                <c:pt idx="4">
                  <c:v>Государственное управление и гражданское общество</c:v>
                </c:pt>
                <c:pt idx="5">
                  <c:v>Управление развитием регионального рынка труда</c:v>
                </c:pt>
                <c:pt idx="6">
                  <c:v>Развитие рыбного и сельского хозяйства</c:v>
                </c:pt>
                <c:pt idx="7">
                  <c:v>Формирование современной городской среды Мурманской области</c:v>
                </c:pt>
                <c:pt idx="8">
                  <c:v>Развитие экономического потенциала</c:v>
                </c:pt>
                <c:pt idx="9">
                  <c:v>Информационное общество</c:v>
                </c:pt>
                <c:pt idx="10">
                  <c:v>Охрана окружающей среды</c:v>
                </c:pt>
              </c:strCache>
            </c:strRef>
          </c:cat>
          <c:val>
            <c:numRef>
              <c:f>Лист1!$B$2:$B$12</c:f>
              <c:numCache>
                <c:formatCode>#,##0.0</c:formatCode>
                <c:ptCount val="11"/>
                <c:pt idx="0" formatCode="General">
                  <c:v>3764.6</c:v>
                </c:pt>
                <c:pt idx="1">
                  <c:v>1286.4000000000001</c:v>
                </c:pt>
                <c:pt idx="2" formatCode="General">
                  <c:v>1303.2</c:v>
                </c:pt>
                <c:pt idx="3">
                  <c:v>1538.9</c:v>
                </c:pt>
                <c:pt idx="4" formatCode="General">
                  <c:v>1136.9000000000001</c:v>
                </c:pt>
                <c:pt idx="5" formatCode="General">
                  <c:v>389.9</c:v>
                </c:pt>
                <c:pt idx="6" formatCode="General">
                  <c:v>518.70000000000005</c:v>
                </c:pt>
                <c:pt idx="7" formatCode="General">
                  <c:v>305</c:v>
                </c:pt>
                <c:pt idx="8" formatCode="General">
                  <c:v>272.7</c:v>
                </c:pt>
                <c:pt idx="9" formatCode="General">
                  <c:v>459.8</c:v>
                </c:pt>
                <c:pt idx="10" formatCode="General">
                  <c:v>152.30000000000001</c:v>
                </c:pt>
              </c:numCache>
            </c:numRef>
          </c:val>
        </c:ser>
        <c:ser>
          <c:idx val="1"/>
          <c:order val="1"/>
          <c:tx>
            <c:strRef>
              <c:f>Лист1!$C$1</c:f>
              <c:strCache>
                <c:ptCount val="1"/>
                <c:pt idx="0">
                  <c:v>ФБ</c:v>
                </c:pt>
              </c:strCache>
            </c:strRef>
          </c:tx>
          <c:spPr>
            <a:solidFill>
              <a:srgbClr val="92D050"/>
            </a:solidFill>
            <a:ln>
              <a:solidFill>
                <a:sysClr val="window" lastClr="FFFFFF">
                  <a:lumMod val="65000"/>
                </a:sysClr>
              </a:solidFill>
            </a:ln>
          </c:spPr>
          <c:dLbls>
            <c:dLbl>
              <c:idx val="0"/>
              <c:tx>
                <c:rich>
                  <a:bodyPr/>
                  <a:lstStyle/>
                  <a:p>
                    <a:pPr>
                      <a:defRPr/>
                    </a:pPr>
                    <a:r>
                      <a:rPr lang="ru-RU"/>
                      <a:t>ФБ </a:t>
                    </a:r>
                    <a:r>
                      <a:rPr lang="en-US"/>
                      <a:t>951,8</a:t>
                    </a:r>
                  </a:p>
                </c:rich>
              </c:tx>
              <c:spPr/>
            </c:dLbl>
            <c:dLbl>
              <c:idx val="1"/>
              <c:tx>
                <c:rich>
                  <a:bodyPr/>
                  <a:lstStyle/>
                  <a:p>
                    <a:pPr>
                      <a:defRPr/>
                    </a:pPr>
                    <a:r>
                      <a:rPr lang="ru-RU"/>
                      <a:t>ФБ </a:t>
                    </a:r>
                    <a:r>
                      <a:rPr lang="en-US"/>
                      <a:t>327,9</a:t>
                    </a:r>
                  </a:p>
                </c:rich>
              </c:tx>
              <c:spPr/>
            </c:dLbl>
            <c:dLbl>
              <c:idx val="2"/>
              <c:tx>
                <c:rich>
                  <a:bodyPr/>
                  <a:lstStyle/>
                  <a:p>
                    <a:pPr>
                      <a:defRPr/>
                    </a:pPr>
                    <a:r>
                      <a:rPr lang="ru-RU"/>
                      <a:t>ФБ</a:t>
                    </a:r>
                    <a:r>
                      <a:rPr lang="ru-RU" baseline="0"/>
                      <a:t> </a:t>
                    </a:r>
                    <a:r>
                      <a:rPr lang="en-US"/>
                      <a:t>252,2</a:t>
                    </a:r>
                  </a:p>
                </c:rich>
              </c:tx>
              <c:spPr/>
            </c:dLbl>
            <c:dLbl>
              <c:idx val="3"/>
              <c:delete val="1"/>
            </c:dLbl>
            <c:dLbl>
              <c:idx val="4"/>
              <c:layout>
                <c:manualLayout>
                  <c:x val="0"/>
                  <c:y val="2.3003470807146511E-2"/>
                </c:manualLayout>
              </c:layout>
              <c:tx>
                <c:rich>
                  <a:bodyPr/>
                  <a:lstStyle/>
                  <a:p>
                    <a:pPr>
                      <a:defRPr/>
                    </a:pPr>
                    <a:r>
                      <a:rPr lang="ru-RU"/>
                      <a:t>ФБ </a:t>
                    </a:r>
                    <a:r>
                      <a:rPr lang="en-US"/>
                      <a:t>68,6</a:t>
                    </a:r>
                  </a:p>
                </c:rich>
              </c:tx>
              <c:spPr/>
              <c:dLblPos val="ctr"/>
            </c:dLbl>
            <c:dLbl>
              <c:idx val="5"/>
              <c:tx>
                <c:rich>
                  <a:bodyPr/>
                  <a:lstStyle/>
                  <a:p>
                    <a:pPr>
                      <a:defRPr/>
                    </a:pPr>
                    <a:r>
                      <a:rPr lang="ru-RU"/>
                      <a:t>ФБ </a:t>
                    </a:r>
                    <a:r>
                      <a:rPr lang="en-US"/>
                      <a:t>465,4</a:t>
                    </a:r>
                  </a:p>
                </c:rich>
              </c:tx>
              <c:spPr/>
            </c:dLbl>
            <c:dLbl>
              <c:idx val="6"/>
              <c:tx>
                <c:rich>
                  <a:bodyPr/>
                  <a:lstStyle/>
                  <a:p>
                    <a:pPr>
                      <a:defRPr/>
                    </a:pPr>
                    <a:r>
                      <a:rPr lang="ru-RU"/>
                      <a:t>ФБ </a:t>
                    </a:r>
                    <a:r>
                      <a:rPr lang="en-US"/>
                      <a:t>131,5</a:t>
                    </a:r>
                  </a:p>
                </c:rich>
              </c:tx>
              <c:spPr/>
            </c:dLbl>
            <c:dLbl>
              <c:idx val="7"/>
              <c:tx>
                <c:rich>
                  <a:bodyPr/>
                  <a:lstStyle/>
                  <a:p>
                    <a:pPr>
                      <a:defRPr/>
                    </a:pPr>
                    <a:r>
                      <a:rPr lang="ru-RU"/>
                      <a:t>ФБ </a:t>
                    </a:r>
                    <a:r>
                      <a:rPr lang="en-US"/>
                      <a:t>215,9</a:t>
                    </a:r>
                  </a:p>
                </c:rich>
              </c:tx>
              <c:spPr/>
            </c:dLbl>
            <c:dLbl>
              <c:idx val="8"/>
              <c:tx>
                <c:rich>
                  <a:bodyPr/>
                  <a:lstStyle/>
                  <a:p>
                    <a:pPr>
                      <a:defRPr/>
                    </a:pPr>
                    <a:r>
                      <a:rPr lang="ru-RU"/>
                      <a:t>ФБ </a:t>
                    </a:r>
                    <a:r>
                      <a:rPr lang="en-US"/>
                      <a:t>320,3</a:t>
                    </a:r>
                  </a:p>
                </c:rich>
              </c:tx>
              <c:spPr/>
            </c:dLbl>
            <c:dLbl>
              <c:idx val="9"/>
              <c:layout>
                <c:manualLayout>
                  <c:x val="-1.0028463807690506E-16"/>
                  <c:y val="-2.7604164968576053E-2"/>
                </c:manualLayout>
              </c:layout>
              <c:tx>
                <c:rich>
                  <a:bodyPr/>
                  <a:lstStyle/>
                  <a:p>
                    <a:pPr>
                      <a:defRPr/>
                    </a:pPr>
                    <a:r>
                      <a:rPr lang="ru-RU"/>
                      <a:t>ФБ </a:t>
                    </a:r>
                    <a:r>
                      <a:rPr lang="en-US"/>
                      <a:t>3,1</a:t>
                    </a:r>
                  </a:p>
                </c:rich>
              </c:tx>
              <c:spPr/>
              <c:dLblPos val="ctr"/>
            </c:dLbl>
            <c:dLbl>
              <c:idx val="10"/>
              <c:tx>
                <c:rich>
                  <a:bodyPr/>
                  <a:lstStyle/>
                  <a:p>
                    <a:pPr>
                      <a:defRPr/>
                    </a:pPr>
                    <a:r>
                      <a:rPr lang="ru-RU"/>
                      <a:t>ФБ </a:t>
                    </a:r>
                    <a:r>
                      <a:rPr lang="en-US"/>
                      <a:t>223</a:t>
                    </a:r>
                  </a:p>
                </c:rich>
              </c:tx>
              <c:spPr/>
            </c:dLbl>
            <c:showVal val="1"/>
          </c:dLbls>
          <c:cat>
            <c:strRef>
              <c:f>Лист1!$A$2:$A$12</c:f>
              <c:strCache>
                <c:ptCount val="11"/>
                <c:pt idx="0">
                  <c:v>Развитие транспортной системы</c:v>
                </c:pt>
                <c:pt idx="1">
                  <c:v>Развитие физической культуры и спорта</c:v>
                </c:pt>
                <c:pt idx="2">
                  <c:v>Развитие культуры и сохранение культурного наследия</c:v>
                </c:pt>
                <c:pt idx="3">
                  <c:v>Обеспечение общественного порядка и безопасности населения</c:v>
                </c:pt>
                <c:pt idx="4">
                  <c:v>Государственное управление и гражданское общество</c:v>
                </c:pt>
                <c:pt idx="5">
                  <c:v>Управление развитием регионального рынка труда</c:v>
                </c:pt>
                <c:pt idx="6">
                  <c:v>Развитие рыбного и сельского хозяйства</c:v>
                </c:pt>
                <c:pt idx="7">
                  <c:v>Формирование современной городской среды Мурманской области</c:v>
                </c:pt>
                <c:pt idx="8">
                  <c:v>Развитие экономического потенциала</c:v>
                </c:pt>
                <c:pt idx="9">
                  <c:v>Информационное общество</c:v>
                </c:pt>
                <c:pt idx="10">
                  <c:v>Охрана окружающей среды</c:v>
                </c:pt>
              </c:strCache>
            </c:strRef>
          </c:cat>
          <c:val>
            <c:numRef>
              <c:f>Лист1!$C$2:$C$12</c:f>
              <c:numCache>
                <c:formatCode>General</c:formatCode>
                <c:ptCount val="11"/>
                <c:pt idx="0">
                  <c:v>951.8</c:v>
                </c:pt>
                <c:pt idx="1">
                  <c:v>327.9</c:v>
                </c:pt>
                <c:pt idx="2">
                  <c:v>252.2</c:v>
                </c:pt>
                <c:pt idx="3" formatCode="#,##0.0">
                  <c:v>0</c:v>
                </c:pt>
                <c:pt idx="4">
                  <c:v>68.599999999999994</c:v>
                </c:pt>
                <c:pt idx="5">
                  <c:v>465.4</c:v>
                </c:pt>
                <c:pt idx="6">
                  <c:v>131.5</c:v>
                </c:pt>
                <c:pt idx="7">
                  <c:v>215.9</c:v>
                </c:pt>
                <c:pt idx="8">
                  <c:v>320.3</c:v>
                </c:pt>
                <c:pt idx="9">
                  <c:v>3.1</c:v>
                </c:pt>
                <c:pt idx="10">
                  <c:v>223</c:v>
                </c:pt>
              </c:numCache>
            </c:numRef>
          </c:val>
        </c:ser>
        <c:ser>
          <c:idx val="2"/>
          <c:order val="2"/>
          <c:tx>
            <c:strRef>
              <c:f>Лист1!$D$1</c:f>
              <c:strCache>
                <c:ptCount val="1"/>
                <c:pt idx="0">
                  <c:v>МБ</c:v>
                </c:pt>
              </c:strCache>
            </c:strRef>
          </c:tx>
          <c:spPr>
            <a:solidFill>
              <a:srgbClr val="00B0F0"/>
            </a:solidFill>
            <a:ln>
              <a:solidFill>
                <a:sysClr val="window" lastClr="FFFFFF">
                  <a:lumMod val="65000"/>
                </a:sysClr>
              </a:solidFill>
            </a:ln>
          </c:spPr>
          <c:dLbls>
            <c:dLbl>
              <c:idx val="0"/>
              <c:layout>
                <c:manualLayout>
                  <c:x val="-5.4701343585599966E-3"/>
                  <c:y val="-2.0703123726431853E-2"/>
                </c:manualLayout>
              </c:layout>
              <c:tx>
                <c:rich>
                  <a:bodyPr/>
                  <a:lstStyle/>
                  <a:p>
                    <a:pPr>
                      <a:defRPr/>
                    </a:pPr>
                    <a:r>
                      <a:rPr lang="ru-RU"/>
                      <a:t>МБ </a:t>
                    </a:r>
                    <a:r>
                      <a:rPr lang="en-US"/>
                      <a:t>26,1</a:t>
                    </a:r>
                  </a:p>
                </c:rich>
              </c:tx>
              <c:spPr/>
              <c:dLblPos val="ctr"/>
            </c:dLbl>
            <c:dLbl>
              <c:idx val="1"/>
              <c:layout>
                <c:manualLayout>
                  <c:x val="-2.1843003412969398E-2"/>
                  <c:y val="-6.894174422612892E-3"/>
                </c:manualLayout>
              </c:layout>
              <c:tx>
                <c:rich>
                  <a:bodyPr/>
                  <a:lstStyle/>
                  <a:p>
                    <a:pPr>
                      <a:defRPr/>
                    </a:pPr>
                    <a:r>
                      <a:rPr lang="ru-RU"/>
                      <a:t>МБ </a:t>
                    </a:r>
                    <a:r>
                      <a:rPr lang="en-US"/>
                      <a:t>88,3</a:t>
                    </a:r>
                  </a:p>
                </c:rich>
              </c:tx>
              <c:spPr>
                <a:noFill/>
              </c:spPr>
              <c:showVal val="1"/>
            </c:dLbl>
            <c:dLbl>
              <c:idx val="2"/>
              <c:layout>
                <c:manualLayout>
                  <c:x val="0"/>
                  <c:y val="-3.6805553291434416E-2"/>
                </c:manualLayout>
              </c:layout>
              <c:tx>
                <c:rich>
                  <a:bodyPr/>
                  <a:lstStyle/>
                  <a:p>
                    <a:pPr>
                      <a:defRPr/>
                    </a:pPr>
                    <a:r>
                      <a:rPr lang="ru-RU"/>
                      <a:t>МБ </a:t>
                    </a:r>
                    <a:r>
                      <a:rPr lang="en-US"/>
                      <a:t>17,7</a:t>
                    </a:r>
                  </a:p>
                </c:rich>
              </c:tx>
              <c:spPr/>
              <c:dLblPos val="ctr"/>
            </c:dLbl>
            <c:dLbl>
              <c:idx val="3"/>
              <c:delete val="1"/>
            </c:dLbl>
            <c:dLbl>
              <c:idx val="4"/>
              <c:delete val="1"/>
            </c:dLbl>
            <c:dLbl>
              <c:idx val="5"/>
              <c:delete val="1"/>
            </c:dLbl>
            <c:dLbl>
              <c:idx val="6"/>
              <c:layout>
                <c:manualLayout>
                  <c:x val="-2.7350671792799952E-3"/>
                  <c:y val="-6.4409718260010226E-2"/>
                </c:manualLayout>
              </c:layout>
              <c:tx>
                <c:rich>
                  <a:bodyPr/>
                  <a:lstStyle/>
                  <a:p>
                    <a:pPr>
                      <a:defRPr/>
                    </a:pPr>
                    <a:r>
                      <a:rPr lang="ru-RU"/>
                      <a:t>МБ </a:t>
                    </a:r>
                    <a:r>
                      <a:rPr lang="en-US"/>
                      <a:t>1,9</a:t>
                    </a:r>
                  </a:p>
                </c:rich>
              </c:tx>
              <c:spPr/>
              <c:dLblPos val="ctr"/>
            </c:dLbl>
            <c:dLbl>
              <c:idx val="7"/>
              <c:tx>
                <c:rich>
                  <a:bodyPr/>
                  <a:lstStyle/>
                  <a:p>
                    <a:pPr>
                      <a:defRPr/>
                    </a:pPr>
                    <a:r>
                      <a:rPr lang="ru-RU"/>
                      <a:t>МБ </a:t>
                    </a:r>
                    <a:r>
                      <a:rPr lang="en-US"/>
                      <a:t>236,6</a:t>
                    </a:r>
                  </a:p>
                </c:rich>
              </c:tx>
              <c:spPr/>
            </c:dLbl>
            <c:dLbl>
              <c:idx val="8"/>
              <c:delete val="1"/>
            </c:dLbl>
            <c:dLbl>
              <c:idx val="9"/>
              <c:delete val="1"/>
            </c:dLbl>
            <c:dLbl>
              <c:idx val="10"/>
              <c:delete val="1"/>
            </c:dLbl>
            <c:showVal val="1"/>
          </c:dLbls>
          <c:cat>
            <c:strRef>
              <c:f>Лист1!$A$2:$A$12</c:f>
              <c:strCache>
                <c:ptCount val="11"/>
                <c:pt idx="0">
                  <c:v>Развитие транспортной системы</c:v>
                </c:pt>
                <c:pt idx="1">
                  <c:v>Развитие физической культуры и спорта</c:v>
                </c:pt>
                <c:pt idx="2">
                  <c:v>Развитие культуры и сохранение культурного наследия</c:v>
                </c:pt>
                <c:pt idx="3">
                  <c:v>Обеспечение общественного порядка и безопасности населения</c:v>
                </c:pt>
                <c:pt idx="4">
                  <c:v>Государственное управление и гражданское общество</c:v>
                </c:pt>
                <c:pt idx="5">
                  <c:v>Управление развитием регионального рынка труда</c:v>
                </c:pt>
                <c:pt idx="6">
                  <c:v>Развитие рыбного и сельского хозяйства</c:v>
                </c:pt>
                <c:pt idx="7">
                  <c:v>Формирование современной городской среды Мурманской области</c:v>
                </c:pt>
                <c:pt idx="8">
                  <c:v>Развитие экономического потенциала</c:v>
                </c:pt>
                <c:pt idx="9">
                  <c:v>Информационное общество</c:v>
                </c:pt>
                <c:pt idx="10">
                  <c:v>Охрана окружающей среды</c:v>
                </c:pt>
              </c:strCache>
            </c:strRef>
          </c:cat>
          <c:val>
            <c:numRef>
              <c:f>Лист1!$D$2:$D$12</c:f>
              <c:numCache>
                <c:formatCode>General</c:formatCode>
                <c:ptCount val="11"/>
                <c:pt idx="0">
                  <c:v>26.1</c:v>
                </c:pt>
                <c:pt idx="1">
                  <c:v>88.3</c:v>
                </c:pt>
                <c:pt idx="2">
                  <c:v>17.7</c:v>
                </c:pt>
                <c:pt idx="3" formatCode="#,##0.0">
                  <c:v>0</c:v>
                </c:pt>
                <c:pt idx="4" formatCode="#,##0.0">
                  <c:v>0</c:v>
                </c:pt>
                <c:pt idx="6">
                  <c:v>1.9000000000000001</c:v>
                </c:pt>
                <c:pt idx="7">
                  <c:v>236.6</c:v>
                </c:pt>
                <c:pt idx="8" formatCode="#,##0.0">
                  <c:v>0</c:v>
                </c:pt>
                <c:pt idx="9" formatCode="#,##0.0">
                  <c:v>0</c:v>
                </c:pt>
                <c:pt idx="10" formatCode="#,##0.0">
                  <c:v>0</c:v>
                </c:pt>
              </c:numCache>
            </c:numRef>
          </c:val>
        </c:ser>
        <c:ser>
          <c:idx val="3"/>
          <c:order val="3"/>
          <c:tx>
            <c:strRef>
              <c:f>Лист1!$E$1</c:f>
              <c:strCache>
                <c:ptCount val="1"/>
                <c:pt idx="0">
                  <c:v>ВБС</c:v>
                </c:pt>
              </c:strCache>
            </c:strRef>
          </c:tx>
          <c:spPr>
            <a:solidFill>
              <a:srgbClr val="FFC000"/>
            </a:solidFill>
            <a:ln>
              <a:solidFill>
                <a:schemeClr val="bg1">
                  <a:lumMod val="65000"/>
                </a:schemeClr>
              </a:solidFill>
            </a:ln>
          </c:spPr>
          <c:dLbls>
            <c:dLbl>
              <c:idx val="0"/>
              <c:delete val="1"/>
            </c:dLbl>
            <c:dLbl>
              <c:idx val="1"/>
              <c:delete val="1"/>
            </c:dLbl>
            <c:dLbl>
              <c:idx val="2"/>
              <c:delete val="1"/>
            </c:dLbl>
            <c:dLbl>
              <c:idx val="3"/>
              <c:delete val="1"/>
            </c:dLbl>
            <c:dLbl>
              <c:idx val="4"/>
              <c:layout>
                <c:manualLayout>
                  <c:x val="2.7350671792799952E-3"/>
                  <c:y val="-3.4505206210719806E-2"/>
                </c:manualLayout>
              </c:layout>
              <c:tx>
                <c:rich>
                  <a:bodyPr/>
                  <a:lstStyle/>
                  <a:p>
                    <a:pPr>
                      <a:defRPr/>
                    </a:pPr>
                    <a:r>
                      <a:rPr lang="ru-RU"/>
                      <a:t>ВБС</a:t>
                    </a:r>
                    <a:r>
                      <a:rPr lang="ru-RU" baseline="0"/>
                      <a:t> </a:t>
                    </a:r>
                    <a:r>
                      <a:rPr lang="en-US"/>
                      <a:t>22,8</a:t>
                    </a:r>
                  </a:p>
                </c:rich>
              </c:tx>
              <c:spPr/>
              <c:dLblPos val="ctr"/>
            </c:dLbl>
            <c:dLbl>
              <c:idx val="5"/>
              <c:layout>
                <c:manualLayout>
                  <c:x val="0"/>
                  <c:y val="-3.6805553291434416E-2"/>
                </c:manualLayout>
              </c:layout>
              <c:tx>
                <c:rich>
                  <a:bodyPr/>
                  <a:lstStyle/>
                  <a:p>
                    <a:pPr>
                      <a:defRPr/>
                    </a:pPr>
                    <a:r>
                      <a:rPr lang="ru-RU"/>
                      <a:t>ВБС </a:t>
                    </a:r>
                    <a:r>
                      <a:rPr lang="en-US"/>
                      <a:t>30,6</a:t>
                    </a:r>
                  </a:p>
                </c:rich>
              </c:tx>
              <c:spPr/>
              <c:dLblPos val="ctr"/>
            </c:dLbl>
            <c:dLbl>
              <c:idx val="6"/>
              <c:tx>
                <c:rich>
                  <a:bodyPr/>
                  <a:lstStyle/>
                  <a:p>
                    <a:pPr>
                      <a:defRPr/>
                    </a:pPr>
                    <a:r>
                      <a:rPr lang="ru-RU"/>
                      <a:t>ВБС </a:t>
                    </a:r>
                    <a:r>
                      <a:rPr lang="en-US"/>
                      <a:t>233,647</a:t>
                    </a:r>
                  </a:p>
                </c:rich>
              </c:tx>
              <c:spPr/>
            </c:dLbl>
            <c:dLbl>
              <c:idx val="7"/>
              <c:layout>
                <c:manualLayout>
                  <c:x val="0"/>
                  <c:y val="-3.4505206210719806E-2"/>
                </c:manualLayout>
              </c:layout>
              <c:tx>
                <c:rich>
                  <a:bodyPr/>
                  <a:lstStyle/>
                  <a:p>
                    <a:pPr>
                      <a:defRPr/>
                    </a:pPr>
                    <a:r>
                      <a:rPr lang="ru-RU"/>
                      <a:t>ВБС </a:t>
                    </a:r>
                    <a:r>
                      <a:rPr lang="en-US"/>
                      <a:t>20,6</a:t>
                    </a:r>
                  </a:p>
                </c:rich>
              </c:tx>
              <c:spPr/>
              <c:dLblPos val="ctr"/>
            </c:dLbl>
            <c:dLbl>
              <c:idx val="8"/>
              <c:layout>
                <c:manualLayout>
                  <c:x val="5.4700266787498933E-3"/>
                  <c:y val="-2.0703123726431853E-2"/>
                </c:manualLayout>
              </c:layout>
              <c:tx>
                <c:rich>
                  <a:bodyPr/>
                  <a:lstStyle/>
                  <a:p>
                    <a:pPr>
                      <a:defRPr/>
                    </a:pPr>
                    <a:r>
                      <a:rPr lang="ru-RU"/>
                      <a:t>ВБС </a:t>
                    </a:r>
                    <a:r>
                      <a:rPr lang="en-US"/>
                      <a:t>1,5</a:t>
                    </a:r>
                  </a:p>
                </c:rich>
              </c:tx>
              <c:spPr/>
              <c:dLblPos val="ctr"/>
            </c:dLbl>
            <c:dLbl>
              <c:idx val="9"/>
              <c:layout>
                <c:manualLayout>
                  <c:x val="4.1026007689200887E-3"/>
                  <c:y val="-5.9809024098580924E-2"/>
                </c:manualLayout>
              </c:layout>
              <c:tx>
                <c:rich>
                  <a:bodyPr/>
                  <a:lstStyle/>
                  <a:p>
                    <a:pPr>
                      <a:defRPr/>
                    </a:pPr>
                    <a:r>
                      <a:rPr lang="ru-RU"/>
                      <a:t>ВБС </a:t>
                    </a:r>
                    <a:r>
                      <a:rPr lang="en-US"/>
                      <a:t>9,3</a:t>
                    </a:r>
                  </a:p>
                </c:rich>
              </c:tx>
              <c:spPr/>
              <c:dLblPos val="ctr"/>
            </c:dLbl>
            <c:dLbl>
              <c:idx val="10"/>
              <c:layout>
                <c:manualLayout>
                  <c:x val="-2.7350671792799952E-3"/>
                  <c:y val="-2.3003470807146594E-2"/>
                </c:manualLayout>
              </c:layout>
              <c:tx>
                <c:rich>
                  <a:bodyPr/>
                  <a:lstStyle/>
                  <a:p>
                    <a:pPr>
                      <a:defRPr/>
                    </a:pPr>
                    <a:r>
                      <a:rPr lang="ru-RU"/>
                      <a:t>ВБС </a:t>
                    </a:r>
                    <a:r>
                      <a:rPr lang="en-US"/>
                      <a:t>13,5</a:t>
                    </a:r>
                  </a:p>
                </c:rich>
              </c:tx>
              <c:spPr/>
              <c:dLblPos val="ctr"/>
            </c:dLbl>
            <c:showVal val="1"/>
          </c:dLbls>
          <c:cat>
            <c:strRef>
              <c:f>Лист1!$A$2:$A$12</c:f>
              <c:strCache>
                <c:ptCount val="11"/>
                <c:pt idx="0">
                  <c:v>Развитие транспортной системы</c:v>
                </c:pt>
                <c:pt idx="1">
                  <c:v>Развитие физической культуры и спорта</c:v>
                </c:pt>
                <c:pt idx="2">
                  <c:v>Развитие культуры и сохранение культурного наследия</c:v>
                </c:pt>
                <c:pt idx="3">
                  <c:v>Обеспечение общественного порядка и безопасности населения</c:v>
                </c:pt>
                <c:pt idx="4">
                  <c:v>Государственное управление и гражданское общество</c:v>
                </c:pt>
                <c:pt idx="5">
                  <c:v>Управление развитием регионального рынка труда</c:v>
                </c:pt>
                <c:pt idx="6">
                  <c:v>Развитие рыбного и сельского хозяйства</c:v>
                </c:pt>
                <c:pt idx="7">
                  <c:v>Формирование современной городской среды Мурманской области</c:v>
                </c:pt>
                <c:pt idx="8">
                  <c:v>Развитие экономического потенциала</c:v>
                </c:pt>
                <c:pt idx="9">
                  <c:v>Информационное общество</c:v>
                </c:pt>
                <c:pt idx="10">
                  <c:v>Охрана окружающей среды</c:v>
                </c:pt>
              </c:strCache>
            </c:strRef>
          </c:cat>
          <c:val>
            <c:numRef>
              <c:f>Лист1!$E$2:$E$12</c:f>
              <c:numCache>
                <c:formatCode>General</c:formatCode>
                <c:ptCount val="11"/>
                <c:pt idx="0" formatCode="#,##0.0">
                  <c:v>0</c:v>
                </c:pt>
                <c:pt idx="1">
                  <c:v>0</c:v>
                </c:pt>
                <c:pt idx="2" formatCode="#,##0.0">
                  <c:v>0</c:v>
                </c:pt>
                <c:pt idx="3" formatCode="#,##0.0">
                  <c:v>0</c:v>
                </c:pt>
                <c:pt idx="4">
                  <c:v>22.8</c:v>
                </c:pt>
                <c:pt idx="5">
                  <c:v>30.6</c:v>
                </c:pt>
                <c:pt idx="6">
                  <c:v>233.64699999999999</c:v>
                </c:pt>
                <c:pt idx="7">
                  <c:v>20.6</c:v>
                </c:pt>
                <c:pt idx="8">
                  <c:v>1.5</c:v>
                </c:pt>
                <c:pt idx="9">
                  <c:v>9.3000000000000007</c:v>
                </c:pt>
                <c:pt idx="10">
                  <c:v>13.5</c:v>
                </c:pt>
              </c:numCache>
            </c:numRef>
          </c:val>
        </c:ser>
        <c:dLbls>
          <c:showVal val="1"/>
        </c:dLbls>
        <c:gapWidth val="55"/>
        <c:overlap val="100"/>
        <c:axId val="100828288"/>
        <c:axId val="100829824"/>
      </c:barChart>
      <c:lineChart>
        <c:grouping val="standard"/>
        <c:ser>
          <c:idx val="4"/>
          <c:order val="4"/>
          <c:tx>
            <c:strRef>
              <c:f>Лист1!$F$1</c:f>
              <c:strCache>
                <c:ptCount val="1"/>
                <c:pt idx="0">
                  <c:v>План</c:v>
                </c:pt>
              </c:strCache>
            </c:strRef>
          </c:tx>
          <c:marker>
            <c:symbol val="none"/>
          </c:marker>
          <c:dLbls>
            <c:delete val="1"/>
          </c:dLbls>
          <c:cat>
            <c:strRef>
              <c:f>Лист1!$A$2:$A$12</c:f>
              <c:strCache>
                <c:ptCount val="11"/>
                <c:pt idx="0">
                  <c:v>Развитие транспортной системы</c:v>
                </c:pt>
                <c:pt idx="1">
                  <c:v>Развитие физической культуры и спорта</c:v>
                </c:pt>
                <c:pt idx="2">
                  <c:v>Развитие культуры и сохранение культурного наследия</c:v>
                </c:pt>
                <c:pt idx="3">
                  <c:v>Обеспечение общественного порядка и безопасности населения</c:v>
                </c:pt>
                <c:pt idx="4">
                  <c:v>Государственное управление и гражданское общество</c:v>
                </c:pt>
                <c:pt idx="5">
                  <c:v>Управление развитием регионального рынка труда</c:v>
                </c:pt>
                <c:pt idx="6">
                  <c:v>Развитие рыбного и сельского хозяйства</c:v>
                </c:pt>
                <c:pt idx="7">
                  <c:v>Формирование современной городской среды Мурманской области</c:v>
                </c:pt>
                <c:pt idx="8">
                  <c:v>Развитие экономического потенциала</c:v>
                </c:pt>
                <c:pt idx="9">
                  <c:v>Информационное общество</c:v>
                </c:pt>
                <c:pt idx="10">
                  <c:v>Охрана окружающей среды</c:v>
                </c:pt>
              </c:strCache>
            </c:strRef>
          </c:cat>
          <c:val>
            <c:numRef>
              <c:f>Лист1!$F$2:$F$12</c:f>
              <c:numCache>
                <c:formatCode>General</c:formatCode>
                <c:ptCount val="11"/>
                <c:pt idx="0">
                  <c:v>5163.1000000000004</c:v>
                </c:pt>
                <c:pt idx="1">
                  <c:v>1944.7</c:v>
                </c:pt>
                <c:pt idx="2" formatCode="#,##0.0">
                  <c:v>1659.9</c:v>
                </c:pt>
                <c:pt idx="3" formatCode="#,##0.0">
                  <c:v>1672.1</c:v>
                </c:pt>
                <c:pt idx="4">
                  <c:v>1277.3</c:v>
                </c:pt>
                <c:pt idx="5">
                  <c:v>882</c:v>
                </c:pt>
                <c:pt idx="6" formatCode="#,##0.0">
                  <c:v>946.5</c:v>
                </c:pt>
                <c:pt idx="7" formatCode="#,##0.0">
                  <c:v>816.9</c:v>
                </c:pt>
                <c:pt idx="8" formatCode="#,##0.0">
                  <c:v>628.9</c:v>
                </c:pt>
                <c:pt idx="9" formatCode="#,##0.0">
                  <c:v>476.9</c:v>
                </c:pt>
                <c:pt idx="10" formatCode="#,##0.0">
                  <c:v>660.8</c:v>
                </c:pt>
              </c:numCache>
            </c:numRef>
          </c:val>
        </c:ser>
        <c:ser>
          <c:idx val="5"/>
          <c:order val="5"/>
          <c:tx>
            <c:strRef>
              <c:f>Лист1!$G$1</c:f>
              <c:strCache>
                <c:ptCount val="1"/>
                <c:pt idx="0">
                  <c:v>Всего расходов</c:v>
                </c:pt>
              </c:strCache>
            </c:strRef>
          </c:tx>
          <c:spPr>
            <a:ln>
              <a:solidFill>
                <a:srgbClr val="FF0000"/>
              </a:solidFill>
            </a:ln>
          </c:spPr>
          <c:marker>
            <c:spPr>
              <a:solidFill>
                <a:srgbClr val="FF0000"/>
              </a:solidFill>
            </c:spPr>
          </c:marker>
          <c:dLbls>
            <c:dLbl>
              <c:idx val="0"/>
              <c:layout>
                <c:manualLayout>
                  <c:x val="1.0940268717120043E-2"/>
                  <c:y val="-1.8402776645717409E-2"/>
                </c:manualLayout>
              </c:layout>
              <c:dLblPos val="r"/>
              <c:showVal val="1"/>
            </c:dLbl>
            <c:dLbl>
              <c:idx val="1"/>
              <c:layout>
                <c:manualLayout>
                  <c:x val="0"/>
                  <c:y val="-6.2109371179295582E-2"/>
                </c:manualLayout>
              </c:layout>
              <c:spPr>
                <a:noFill/>
              </c:spPr>
              <c:txPr>
                <a:bodyPr/>
                <a:lstStyle/>
                <a:p>
                  <a:pPr>
                    <a:defRPr b="1">
                      <a:solidFill>
                        <a:srgbClr val="FF0000"/>
                      </a:solidFill>
                    </a:defRPr>
                  </a:pPr>
                  <a:endParaRPr lang="ru-RU"/>
                </a:p>
              </c:txPr>
              <c:dLblPos val="r"/>
              <c:showVal val="1"/>
            </c:dLbl>
            <c:dLbl>
              <c:idx val="2"/>
              <c:layout>
                <c:manualLayout>
                  <c:x val="-9.5727351274800653E-3"/>
                  <c:y val="-6.2109371179295582E-2"/>
                </c:manualLayout>
              </c:layout>
              <c:dLblPos val="r"/>
              <c:showVal val="1"/>
            </c:dLbl>
            <c:dLbl>
              <c:idx val="3"/>
              <c:layout>
                <c:manualLayout>
                  <c:x val="-1.0940268717120043E-2"/>
                  <c:y val="-6.4409718260010226E-2"/>
                </c:manualLayout>
              </c:layout>
              <c:dLblPos val="r"/>
              <c:showVal val="1"/>
            </c:dLbl>
            <c:dLbl>
              <c:idx val="4"/>
              <c:layout>
                <c:manualLayout>
                  <c:x val="0"/>
                  <c:y val="-6.9010412421440038E-3"/>
                </c:manualLayout>
              </c:layout>
              <c:dLblPos val="r"/>
              <c:showVal val="1"/>
            </c:dLbl>
            <c:dLbl>
              <c:idx val="5"/>
              <c:layout>
                <c:manualLayout>
                  <c:x val="0"/>
                  <c:y val="-9.201388322858604E-3"/>
                </c:manualLayout>
              </c:layout>
              <c:dLblPos val="r"/>
              <c:showVal val="1"/>
            </c:dLbl>
            <c:dLbl>
              <c:idx val="6"/>
              <c:layout>
                <c:manualLayout>
                  <c:x val="0"/>
                  <c:y val="-1.380208248428798E-2"/>
                </c:manualLayout>
              </c:layout>
              <c:dLblPos val="r"/>
              <c:showVal val="1"/>
            </c:dLbl>
            <c:dLbl>
              <c:idx val="7"/>
              <c:layout>
                <c:manualLayout>
                  <c:x val="0"/>
                  <c:y val="-9.201388322858604E-3"/>
                </c:manualLayout>
              </c:layout>
              <c:dLblPos val="r"/>
              <c:showVal val="1"/>
            </c:dLbl>
            <c:dLbl>
              <c:idx val="8"/>
              <c:layout>
                <c:manualLayout>
                  <c:x val="-2.735067179279892E-3"/>
                  <c:y val="-6.4409718260010226E-2"/>
                </c:manualLayout>
              </c:layout>
              <c:dLblPos val="r"/>
              <c:showVal val="1"/>
            </c:dLbl>
            <c:dLbl>
              <c:idx val="9"/>
              <c:layout>
                <c:manualLayout>
                  <c:x val="6.8376679481999833E-3"/>
                  <c:y val="-2.7604164968575852E-2"/>
                </c:manualLayout>
              </c:layout>
              <c:dLblPos val="r"/>
              <c:showVal val="1"/>
            </c:dLbl>
            <c:dLbl>
              <c:idx val="10"/>
              <c:layout>
                <c:manualLayout>
                  <c:x val="0"/>
                  <c:y val="-9.2013883228584999E-3"/>
                </c:manualLayout>
              </c:layout>
              <c:dLblPos val="r"/>
              <c:showVal val="1"/>
            </c:dLbl>
            <c:txPr>
              <a:bodyPr/>
              <a:lstStyle/>
              <a:p>
                <a:pPr>
                  <a:defRPr b="1">
                    <a:solidFill>
                      <a:srgbClr val="FF0000"/>
                    </a:solidFill>
                  </a:defRPr>
                </a:pPr>
                <a:endParaRPr lang="ru-RU"/>
              </a:p>
            </c:txPr>
            <c:showVal val="1"/>
          </c:dLbls>
          <c:cat>
            <c:strRef>
              <c:f>Лист1!$A$2:$A$12</c:f>
              <c:strCache>
                <c:ptCount val="11"/>
                <c:pt idx="0">
                  <c:v>Развитие транспортной системы</c:v>
                </c:pt>
                <c:pt idx="1">
                  <c:v>Развитие физической культуры и спорта</c:v>
                </c:pt>
                <c:pt idx="2">
                  <c:v>Развитие культуры и сохранение культурного наследия</c:v>
                </c:pt>
                <c:pt idx="3">
                  <c:v>Обеспечение общественного порядка и безопасности населения</c:v>
                </c:pt>
                <c:pt idx="4">
                  <c:v>Государственное управление и гражданское общество</c:v>
                </c:pt>
                <c:pt idx="5">
                  <c:v>Управление развитием регионального рынка труда</c:v>
                </c:pt>
                <c:pt idx="6">
                  <c:v>Развитие рыбного и сельского хозяйства</c:v>
                </c:pt>
                <c:pt idx="7">
                  <c:v>Формирование современной городской среды Мурманской области</c:v>
                </c:pt>
                <c:pt idx="8">
                  <c:v>Развитие экономического потенциала</c:v>
                </c:pt>
                <c:pt idx="9">
                  <c:v>Информационное общество</c:v>
                </c:pt>
                <c:pt idx="10">
                  <c:v>Охрана окружающей среды</c:v>
                </c:pt>
              </c:strCache>
            </c:strRef>
          </c:cat>
          <c:val>
            <c:numRef>
              <c:f>Лист1!$G$2:$G$12</c:f>
              <c:numCache>
                <c:formatCode>General</c:formatCode>
                <c:ptCount val="11"/>
                <c:pt idx="0">
                  <c:v>4742.6000000000004</c:v>
                </c:pt>
                <c:pt idx="1">
                  <c:v>1752.2</c:v>
                </c:pt>
                <c:pt idx="2" formatCode="#,##0.0">
                  <c:v>1573.1</c:v>
                </c:pt>
                <c:pt idx="3" formatCode="#,##0.0">
                  <c:v>1538.9</c:v>
                </c:pt>
                <c:pt idx="4">
                  <c:v>1228.3</c:v>
                </c:pt>
                <c:pt idx="5">
                  <c:v>885.9</c:v>
                </c:pt>
                <c:pt idx="6" formatCode="#,##0.0">
                  <c:v>885.8</c:v>
                </c:pt>
                <c:pt idx="7" formatCode="#,##0.0">
                  <c:v>778.1</c:v>
                </c:pt>
                <c:pt idx="8" formatCode="#,##0.0">
                  <c:v>594.5</c:v>
                </c:pt>
                <c:pt idx="9" formatCode="#,##0.0">
                  <c:v>472.2</c:v>
                </c:pt>
                <c:pt idx="10" formatCode="#,##0.0">
                  <c:v>388.8</c:v>
                </c:pt>
              </c:numCache>
            </c:numRef>
          </c:val>
        </c:ser>
        <c:dLbls>
          <c:showVal val="1"/>
        </c:dLbls>
        <c:marker val="1"/>
        <c:axId val="100828288"/>
        <c:axId val="100829824"/>
      </c:lineChart>
      <c:scatterChart>
        <c:scatterStyle val="lineMarker"/>
        <c:ser>
          <c:idx val="6"/>
          <c:order val="6"/>
          <c:tx>
            <c:strRef>
              <c:f>Лист1!$H$1</c:f>
              <c:strCache>
                <c:ptCount val="1"/>
                <c:pt idx="0">
                  <c:v>Степень освоения средств, %</c:v>
                </c:pt>
              </c:strCache>
            </c:strRef>
          </c:tx>
          <c:spPr>
            <a:ln w="28559">
              <a:noFill/>
            </a:ln>
          </c:spPr>
          <c:marker>
            <c:symbol val="diamond"/>
            <c:size val="6"/>
            <c:spPr>
              <a:solidFill>
                <a:srgbClr val="0070C0"/>
              </a:solidFill>
            </c:spPr>
          </c:marker>
          <c:dLbls>
            <c:dLbl>
              <c:idx val="1"/>
              <c:spPr>
                <a:solidFill>
                  <a:sysClr val="window" lastClr="FFFFFF"/>
                </a:solidFill>
              </c:spPr>
              <c:txPr>
                <a:bodyPr/>
                <a:lstStyle/>
                <a:p>
                  <a:pPr>
                    <a:defRPr/>
                  </a:pPr>
                  <a:endParaRPr lang="ru-RU"/>
                </a:p>
              </c:txPr>
            </c:dLbl>
            <c:dLbl>
              <c:idx val="5"/>
              <c:tx>
                <c:rich>
                  <a:bodyPr/>
                  <a:lstStyle/>
                  <a:p>
                    <a:pPr>
                      <a:defRPr/>
                    </a:pPr>
                    <a:r>
                      <a:rPr lang="en-US"/>
                      <a:t>100,4%</a:t>
                    </a:r>
                    <a:r>
                      <a:rPr lang="ru-RU"/>
                      <a:t>*</a:t>
                    </a:r>
                    <a:endParaRPr lang="en-US"/>
                  </a:p>
                </c:rich>
              </c:tx>
              <c:spPr/>
            </c:dLbl>
            <c:showVal val="1"/>
          </c:dLbls>
          <c:xVal>
            <c:strRef>
              <c:f>Лист1!$A$2:$A$12</c:f>
              <c:strCache>
                <c:ptCount val="11"/>
                <c:pt idx="0">
                  <c:v>Развитие транспортной системы</c:v>
                </c:pt>
                <c:pt idx="1">
                  <c:v>Развитие физической культуры и спорта</c:v>
                </c:pt>
                <c:pt idx="2">
                  <c:v>Развитие культуры и сохранение культурного наследия</c:v>
                </c:pt>
                <c:pt idx="3">
                  <c:v>Обеспечение общественного порядка и безопасности населения</c:v>
                </c:pt>
                <c:pt idx="4">
                  <c:v>Государственное управление и гражданское общество</c:v>
                </c:pt>
                <c:pt idx="5">
                  <c:v>Управление развитием регионального рынка труда</c:v>
                </c:pt>
                <c:pt idx="6">
                  <c:v>Развитие рыбного и сельского хозяйства</c:v>
                </c:pt>
                <c:pt idx="7">
                  <c:v>Формирование современной городской среды Мурманской области</c:v>
                </c:pt>
                <c:pt idx="8">
                  <c:v>Развитие экономического потенциала</c:v>
                </c:pt>
                <c:pt idx="9">
                  <c:v>Информационное общество</c:v>
                </c:pt>
                <c:pt idx="10">
                  <c:v>Охрана окружающей среды</c:v>
                </c:pt>
              </c:strCache>
            </c:strRef>
          </c:xVal>
          <c:yVal>
            <c:numRef>
              <c:f>Лист1!$H$2:$H$12</c:f>
              <c:numCache>
                <c:formatCode>0.0%</c:formatCode>
                <c:ptCount val="11"/>
                <c:pt idx="0">
                  <c:v>0.91856381614976301</c:v>
                </c:pt>
                <c:pt idx="1">
                  <c:v>0.876000000000002</c:v>
                </c:pt>
                <c:pt idx="2">
                  <c:v>0.94770512145418728</c:v>
                </c:pt>
                <c:pt idx="3">
                  <c:v>0.92028906812255429</c:v>
                </c:pt>
                <c:pt idx="4">
                  <c:v>0.96168279609123219</c:v>
                </c:pt>
                <c:pt idx="5">
                  <c:v>1.0035539504449769</c:v>
                </c:pt>
                <c:pt idx="6">
                  <c:v>0.93579267828972801</c:v>
                </c:pt>
                <c:pt idx="7">
                  <c:v>0.95274441507777741</c:v>
                </c:pt>
                <c:pt idx="8">
                  <c:v>0.94536572083282655</c:v>
                </c:pt>
                <c:pt idx="9">
                  <c:v>0.9899893561696167</c:v>
                </c:pt>
                <c:pt idx="10">
                  <c:v>0.5883574437512169</c:v>
                </c:pt>
              </c:numCache>
            </c:numRef>
          </c:yVal>
        </c:ser>
        <c:dLbls>
          <c:showVal val="1"/>
        </c:dLbls>
        <c:axId val="100844288"/>
        <c:axId val="100845824"/>
      </c:scatterChart>
      <c:catAx>
        <c:axId val="100828288"/>
        <c:scaling>
          <c:orientation val="minMax"/>
        </c:scaling>
        <c:axPos val="b"/>
        <c:numFmt formatCode="General" sourceLinked="1"/>
        <c:majorTickMark val="none"/>
        <c:tickLblPos val="nextTo"/>
        <c:txPr>
          <a:bodyPr/>
          <a:lstStyle/>
          <a:p>
            <a:pPr>
              <a:defRPr b="1" baseline="30000">
                <a:latin typeface="Times New Roman" pitchFamily="18" charset="0"/>
                <a:cs typeface="Times New Roman" pitchFamily="18" charset="0"/>
              </a:defRPr>
            </a:pPr>
            <a:endParaRPr lang="ru-RU"/>
          </a:p>
        </c:txPr>
        <c:crossAx val="100829824"/>
        <c:crosses val="autoZero"/>
        <c:auto val="1"/>
        <c:lblAlgn val="ctr"/>
        <c:lblOffset val="100"/>
      </c:catAx>
      <c:valAx>
        <c:axId val="100829824"/>
        <c:scaling>
          <c:orientation val="minMax"/>
          <c:max val="5000"/>
          <c:min val="0"/>
        </c:scaling>
        <c:axPos val="l"/>
        <c:title>
          <c:tx>
            <c:rich>
              <a:bodyPr/>
              <a:lstStyle/>
              <a:p>
                <a:pPr>
                  <a:defRPr sz="999" b="1" i="0" u="none" strike="noStrike" baseline="0">
                    <a:solidFill>
                      <a:srgbClr val="000000"/>
                    </a:solidFill>
                    <a:latin typeface="Times New Roman"/>
                    <a:ea typeface="Times New Roman"/>
                    <a:cs typeface="Times New Roman"/>
                  </a:defRPr>
                </a:pPr>
                <a:r>
                  <a:rPr lang="ru-RU"/>
                  <a:t>Млн.рублей</a:t>
                </a:r>
              </a:p>
            </c:rich>
          </c:tx>
          <c:layout>
            <c:manualLayout>
              <c:xMode val="edge"/>
              <c:yMode val="edge"/>
              <c:x val="7.1938639794378034E-2"/>
              <c:y val="0.23310512501726771"/>
            </c:manualLayout>
          </c:layout>
        </c:title>
        <c:numFmt formatCode="General" sourceLinked="1"/>
        <c:majorTickMark val="none"/>
        <c:tickLblPos val="none"/>
        <c:crossAx val="100828288"/>
        <c:crosses val="autoZero"/>
        <c:crossBetween val="between"/>
        <c:majorUnit val="400"/>
      </c:valAx>
      <c:valAx>
        <c:axId val="100844288"/>
        <c:scaling>
          <c:orientation val="minMax"/>
        </c:scaling>
        <c:delete val="1"/>
        <c:axPos val="b"/>
        <c:tickLblPos val="nextTo"/>
        <c:crossAx val="100845824"/>
        <c:crosses val="autoZero"/>
        <c:crossBetween val="midCat"/>
      </c:valAx>
      <c:valAx>
        <c:axId val="100845824"/>
        <c:scaling>
          <c:orientation val="minMax"/>
        </c:scaling>
        <c:axPos val="r"/>
        <c:numFmt formatCode="0.0%" sourceLinked="1"/>
        <c:majorTickMark val="none"/>
        <c:tickLblPos val="none"/>
        <c:txPr>
          <a:bodyPr/>
          <a:lstStyle/>
          <a:p>
            <a:pPr>
              <a:defRPr>
                <a:solidFill>
                  <a:sysClr val="windowText" lastClr="000000"/>
                </a:solidFill>
              </a:defRPr>
            </a:pPr>
            <a:endParaRPr lang="ru-RU"/>
          </a:p>
        </c:txPr>
        <c:crossAx val="100844288"/>
        <c:crosses val="max"/>
        <c:crossBetween val="midCat"/>
      </c:valAx>
    </c:plotArea>
    <c:legend>
      <c:legendPos val="b"/>
      <c:layout>
        <c:manualLayout>
          <c:xMode val="edge"/>
          <c:yMode val="edge"/>
          <c:x val="1.7766173010757204E-2"/>
          <c:y val="0.84036469125569835"/>
          <c:w val="0.84857857016577665"/>
          <c:h val="3.3979094718423412E-2"/>
        </c:manualLayout>
      </c:layout>
      <c:txPr>
        <a:bodyPr/>
        <a:lstStyle/>
        <a:p>
          <a:pPr>
            <a:defRPr sz="800">
              <a:latin typeface="Times New Roman" pitchFamily="18" charset="0"/>
              <a:cs typeface="Times New Roman" pitchFamily="18" charset="0"/>
            </a:defRPr>
          </a:pPr>
          <a:endParaRPr lang="ru-RU"/>
        </a:p>
      </c:txPr>
    </c:legend>
    <c:plotVisOnly val="1"/>
    <c:dispBlanksAs val="zero"/>
  </c:chart>
  <c:externalData r:id="rId2"/>
</c:chartSpace>
</file>

<file path=word/drawings/drawing1.xml><?xml version="1.0" encoding="utf-8"?>
<c:userShapes xmlns:c="http://schemas.openxmlformats.org/drawingml/2006/chart">
  <cdr:relSizeAnchor xmlns:cdr="http://schemas.openxmlformats.org/drawingml/2006/chartDrawing">
    <cdr:from>
      <cdr:x>0.37308</cdr:x>
      <cdr:y>0.61384</cdr:y>
    </cdr:from>
    <cdr:to>
      <cdr:x>0.4552</cdr:x>
      <cdr:y>0.66265</cdr:y>
    </cdr:to>
    <cdr:sp macro="" textlink="">
      <cdr:nvSpPr>
        <cdr:cNvPr id="3" name="Надпись 2"/>
        <cdr:cNvSpPr txBox="1">
          <a:spLocks xmlns:a="http://schemas.openxmlformats.org/drawingml/2006/main" noChangeArrowheads="1"/>
        </cdr:cNvSpPr>
      </cdr:nvSpPr>
      <cdr:spPr bwMode="auto">
        <a:xfrm xmlns:a="http://schemas.openxmlformats.org/drawingml/2006/main">
          <a:off x="3173095" y="3362325"/>
          <a:ext cx="698500" cy="267335"/>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a:lstStyle xmlns:a="http://schemas.openxmlformats.org/drawingml/2006/main"/>
        <a:p xmlns:a="http://schemas.openxmlformats.org/drawingml/2006/main">
          <a:endParaRPr lang="ru-RU"/>
        </a:p>
      </cdr:txBody>
    </cdr:sp>
  </cdr:relSizeAnchor>
  <cdr:relSizeAnchor xmlns:cdr="http://schemas.openxmlformats.org/drawingml/2006/chartDrawing">
    <cdr:from>
      <cdr:x>0.27428</cdr:x>
      <cdr:y>0.46763</cdr:y>
    </cdr:from>
    <cdr:to>
      <cdr:x>0.36848</cdr:x>
      <cdr:y>0.50529</cdr:y>
    </cdr:to>
    <cdr:sp macro="" textlink="">
      <cdr:nvSpPr>
        <cdr:cNvPr id="6" name="Прямоугольник 5"/>
        <cdr:cNvSpPr/>
      </cdr:nvSpPr>
      <cdr:spPr>
        <a:xfrm xmlns:a="http://schemas.openxmlformats.org/drawingml/2006/main">
          <a:off x="2335962" y="2570671"/>
          <a:ext cx="802256" cy="207034"/>
        </a:xfrm>
        <a:prstGeom xmlns:a="http://schemas.openxmlformats.org/drawingml/2006/main" prst="rect">
          <a:avLst/>
        </a:prstGeom>
        <a:noFill xmlns:a="http://schemas.openxmlformats.org/drawingml/2006/main"/>
        <a:ln xmlns:a="http://schemas.openxmlformats.org/drawingml/2006/main">
          <a:no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a:lstStyle xmlns:a="http://schemas.openxmlformats.org/drawingml/2006/main"/>
        <a:p xmlns:a="http://schemas.openxmlformats.org/drawingml/2006/main">
          <a:r>
            <a:rPr lang="ru-RU" sz="900">
              <a:solidFill>
                <a:sysClr val="windowText" lastClr="000000"/>
              </a:solidFill>
            </a:rPr>
            <a:t>МБ  124,9</a:t>
          </a:r>
        </a:p>
      </cdr:txBody>
    </cdr:sp>
  </cdr:relSizeAnchor>
  <cdr:relSizeAnchor xmlns:cdr="http://schemas.openxmlformats.org/drawingml/2006/chartDrawing">
    <cdr:from>
      <cdr:x>0.66041</cdr:x>
      <cdr:y>0.50216</cdr:y>
    </cdr:from>
    <cdr:to>
      <cdr:x>0.7546</cdr:x>
      <cdr:y>0.53982</cdr:y>
    </cdr:to>
    <cdr:sp macro="" textlink="">
      <cdr:nvSpPr>
        <cdr:cNvPr id="7" name="Прямоугольник 6"/>
        <cdr:cNvSpPr/>
      </cdr:nvSpPr>
      <cdr:spPr>
        <a:xfrm xmlns:a="http://schemas.openxmlformats.org/drawingml/2006/main">
          <a:off x="5624423" y="2760453"/>
          <a:ext cx="802256" cy="207034"/>
        </a:xfrm>
        <a:prstGeom xmlns:a="http://schemas.openxmlformats.org/drawingml/2006/main" prst="rect">
          <a:avLst/>
        </a:prstGeom>
        <a:noFill xmlns:a="http://schemas.openxmlformats.org/drawingml/2006/main"/>
        <a:ln xmlns:a="http://schemas.openxmlformats.org/drawingml/2006/main" w="25400" cap="flat" cmpd="sng" algn="ctr">
          <a:noFill/>
          <a:prstDash val="solid"/>
        </a:ln>
        <a:effectLst xmlns:a="http://schemas.openxmlformats.org/drawingml/2006/mai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a:lstStyle xmlns:a="http://schemas.openxmlformats.org/drawingml/2006/main">
          <a:lvl1pPr marL="0" indent="0">
            <a:defRPr sz="1100">
              <a:solidFill>
                <a:sysClr val="window" lastClr="FFFFFF"/>
              </a:solidFill>
              <a:latin typeface="Calibri"/>
            </a:defRPr>
          </a:lvl1pPr>
          <a:lvl2pPr marL="457200" indent="0">
            <a:defRPr sz="1100">
              <a:solidFill>
                <a:sysClr val="window" lastClr="FFFFFF"/>
              </a:solidFill>
              <a:latin typeface="Calibri"/>
            </a:defRPr>
          </a:lvl2pPr>
          <a:lvl3pPr marL="914400" indent="0">
            <a:defRPr sz="1100">
              <a:solidFill>
                <a:sysClr val="window" lastClr="FFFFFF"/>
              </a:solidFill>
              <a:latin typeface="Calibri"/>
            </a:defRPr>
          </a:lvl3pPr>
          <a:lvl4pPr marL="1371600" indent="0">
            <a:defRPr sz="1100">
              <a:solidFill>
                <a:sysClr val="window" lastClr="FFFFFF"/>
              </a:solidFill>
              <a:latin typeface="Calibri"/>
            </a:defRPr>
          </a:lvl4pPr>
          <a:lvl5pPr marL="1828800" indent="0">
            <a:defRPr sz="1100">
              <a:solidFill>
                <a:sysClr val="window" lastClr="FFFFFF"/>
              </a:solidFill>
              <a:latin typeface="Calibri"/>
            </a:defRPr>
          </a:lvl5pPr>
          <a:lvl6pPr marL="2286000" indent="0">
            <a:defRPr sz="1100">
              <a:solidFill>
                <a:sysClr val="window" lastClr="FFFFFF"/>
              </a:solidFill>
              <a:latin typeface="Calibri"/>
            </a:defRPr>
          </a:lvl6pPr>
          <a:lvl7pPr marL="2743200" indent="0">
            <a:defRPr sz="1100">
              <a:solidFill>
                <a:sysClr val="window" lastClr="FFFFFF"/>
              </a:solidFill>
              <a:latin typeface="Calibri"/>
            </a:defRPr>
          </a:lvl7pPr>
          <a:lvl8pPr marL="3200400" indent="0">
            <a:defRPr sz="1100">
              <a:solidFill>
                <a:sysClr val="window" lastClr="FFFFFF"/>
              </a:solidFill>
              <a:latin typeface="Calibri"/>
            </a:defRPr>
          </a:lvl8pPr>
          <a:lvl9pPr marL="3657600" indent="0">
            <a:defRPr sz="1100">
              <a:solidFill>
                <a:sysClr val="window" lastClr="FFFFFF"/>
              </a:solidFill>
              <a:latin typeface="Calibri"/>
            </a:defRPr>
          </a:lvl9pPr>
        </a:lstStyle>
        <a:p xmlns:a="http://schemas.openxmlformats.org/drawingml/2006/main">
          <a:r>
            <a:rPr lang="ru-RU" sz="900">
              <a:solidFill>
                <a:sysClr val="windowText" lastClr="000000"/>
              </a:solidFill>
            </a:rPr>
            <a:t>МБ  72,6</a:t>
          </a: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81</TotalTime>
  <Pages>13</Pages>
  <Words>3060</Words>
  <Characters>17445</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20465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Богданова А.С.</dc:creator>
  <cp:lastModifiedBy>Дворникова</cp:lastModifiedBy>
  <cp:revision>11</cp:revision>
  <cp:lastPrinted>2020-05-21T14:54:00Z</cp:lastPrinted>
  <dcterms:created xsi:type="dcterms:W3CDTF">2020-05-19T10:50:00Z</dcterms:created>
  <dcterms:modified xsi:type="dcterms:W3CDTF">2020-06-01T06:55:00Z</dcterms:modified>
</cp:coreProperties>
</file>